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CFE7B" w14:textId="012C4324" w:rsidR="00C122E9" w:rsidRPr="00A506D0" w:rsidRDefault="00C122E9" w:rsidP="00C5334F">
      <w:pPr>
        <w:spacing w:line="259" w:lineRule="auto"/>
        <w:jc w:val="center"/>
        <w:rPr>
          <w:b/>
          <w:noProof/>
          <w:sz w:val="26"/>
          <w:szCs w:val="26"/>
        </w:rPr>
      </w:pPr>
      <w:r w:rsidRPr="00A506D0">
        <w:rPr>
          <w:b/>
          <w:noProof/>
          <w:sz w:val="26"/>
          <w:szCs w:val="26"/>
          <w:lang w:val="vi-VN"/>
        </w:rPr>
        <w:t>DANH MỤC CÁC VĂN BẢN QUY PHẠM PHÁP LUẬT</w:t>
      </w:r>
    </w:p>
    <w:p w14:paraId="7A9B7A37" w14:textId="6E760214" w:rsidR="00C122E9" w:rsidRDefault="00C122E9" w:rsidP="005B1CC1">
      <w:pPr>
        <w:spacing w:line="340" w:lineRule="exact"/>
        <w:jc w:val="center"/>
        <w:rPr>
          <w:b/>
          <w:noProof/>
          <w:sz w:val="26"/>
          <w:szCs w:val="26"/>
          <w:lang w:val="vi-VN"/>
        </w:rPr>
      </w:pPr>
      <w:r w:rsidRPr="00A506D0">
        <w:rPr>
          <w:b/>
          <w:noProof/>
          <w:sz w:val="26"/>
          <w:szCs w:val="26"/>
          <w:lang w:val="vi-VN"/>
        </w:rPr>
        <w:t>CẦN ĐƯỢC RÀ SOÁT</w:t>
      </w:r>
      <w:r w:rsidRPr="00A506D0">
        <w:rPr>
          <w:b/>
          <w:noProof/>
          <w:sz w:val="26"/>
          <w:szCs w:val="26"/>
        </w:rPr>
        <w:t>,</w:t>
      </w:r>
      <w:r w:rsidRPr="00A506D0">
        <w:rPr>
          <w:b/>
          <w:noProof/>
          <w:sz w:val="26"/>
          <w:szCs w:val="26"/>
          <w:lang w:val="vi-VN"/>
        </w:rPr>
        <w:t xml:space="preserve"> SỬA ĐỔI</w:t>
      </w:r>
      <w:r w:rsidRPr="00A506D0">
        <w:rPr>
          <w:b/>
          <w:noProof/>
          <w:sz w:val="26"/>
          <w:szCs w:val="26"/>
        </w:rPr>
        <w:t>, BỔ SUNG</w:t>
      </w:r>
      <w:r w:rsidRPr="00A506D0">
        <w:rPr>
          <w:b/>
          <w:noProof/>
          <w:sz w:val="26"/>
          <w:szCs w:val="26"/>
          <w:lang w:val="vi-VN"/>
        </w:rPr>
        <w:t xml:space="preserve"> HOẶC BAN HÀNH MỚI</w:t>
      </w:r>
    </w:p>
    <w:p w14:paraId="403A9F65" w14:textId="0C058E92" w:rsidR="00B26D9F" w:rsidRPr="005B1CC1" w:rsidRDefault="00B26D9F" w:rsidP="005B1CC1">
      <w:pPr>
        <w:spacing w:line="340" w:lineRule="exact"/>
        <w:jc w:val="center"/>
        <w:rPr>
          <w:bCs/>
          <w:i/>
          <w:noProof/>
          <w:sz w:val="26"/>
          <w:szCs w:val="26"/>
        </w:rPr>
      </w:pPr>
      <w:r w:rsidRPr="005B1CC1">
        <w:rPr>
          <w:bCs/>
          <w:i/>
          <w:noProof/>
          <w:sz w:val="26"/>
          <w:szCs w:val="26"/>
        </w:rPr>
        <w:t xml:space="preserve">(Kèm theo Nghị quyết số </w:t>
      </w:r>
      <w:r w:rsidR="007F01E5">
        <w:rPr>
          <w:bCs/>
          <w:i/>
          <w:noProof/>
          <w:sz w:val="26"/>
          <w:szCs w:val="26"/>
        </w:rPr>
        <w:t>99/</w:t>
      </w:r>
      <w:r w:rsidRPr="005B1CC1">
        <w:rPr>
          <w:bCs/>
          <w:i/>
          <w:noProof/>
          <w:sz w:val="26"/>
          <w:szCs w:val="26"/>
        </w:rPr>
        <w:t xml:space="preserve">2023/QH15 ngày </w:t>
      </w:r>
      <w:r w:rsidR="007F01E5">
        <w:rPr>
          <w:bCs/>
          <w:i/>
          <w:noProof/>
          <w:sz w:val="26"/>
          <w:szCs w:val="26"/>
        </w:rPr>
        <w:t>24</w:t>
      </w:r>
      <w:r w:rsidR="00B33B66" w:rsidRPr="005B1CC1">
        <w:rPr>
          <w:bCs/>
          <w:i/>
          <w:noProof/>
          <w:sz w:val="26"/>
          <w:szCs w:val="26"/>
        </w:rPr>
        <w:t xml:space="preserve"> tháng 6 năm 2023 của Quốc hội)</w:t>
      </w:r>
    </w:p>
    <w:p w14:paraId="39AC7F66" w14:textId="77777777" w:rsidR="00C122E9" w:rsidRPr="00C5334F" w:rsidRDefault="00C122E9" w:rsidP="00C122E9">
      <w:pPr>
        <w:rPr>
          <w:bCs/>
          <w:noProof/>
          <w:sz w:val="22"/>
          <w:szCs w:val="28"/>
          <w:lang w:val="vi-VN"/>
        </w:rPr>
      </w:pPr>
    </w:p>
    <w:p w14:paraId="29A049CB" w14:textId="77777777" w:rsidR="00C122E9" w:rsidRPr="00A506D0" w:rsidRDefault="00C122E9" w:rsidP="00C122E9">
      <w:pPr>
        <w:rPr>
          <w:bCs/>
          <w:noProof/>
          <w:sz w:val="10"/>
          <w:szCs w:val="28"/>
          <w:lang w:val="vi-VN"/>
        </w:rPr>
      </w:pPr>
    </w:p>
    <w:tbl>
      <w:tblPr>
        <w:tblW w:w="93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8614"/>
      </w:tblGrid>
      <w:tr w:rsidR="00A506D0" w:rsidRPr="00A506D0" w14:paraId="6028CB9D" w14:textId="77777777" w:rsidTr="00CA2857">
        <w:tc>
          <w:tcPr>
            <w:tcW w:w="686" w:type="dxa"/>
            <w:tcBorders>
              <w:top w:val="single" w:sz="4" w:space="0" w:color="000000"/>
              <w:left w:val="single" w:sz="4" w:space="0" w:color="000000"/>
              <w:bottom w:val="single" w:sz="4" w:space="0" w:color="000000"/>
              <w:right w:val="single" w:sz="4" w:space="0" w:color="000000"/>
            </w:tcBorders>
            <w:vAlign w:val="center"/>
            <w:hideMark/>
          </w:tcPr>
          <w:p w14:paraId="053BAD24" w14:textId="236AE32F" w:rsidR="00C122E9" w:rsidRPr="00A506D0" w:rsidRDefault="00C122E9" w:rsidP="005B1CC1">
            <w:pPr>
              <w:spacing w:before="60" w:after="60" w:line="340" w:lineRule="exact"/>
              <w:ind w:right="-434"/>
              <w:rPr>
                <w:rFonts w:eastAsia="Calibri"/>
                <w:b/>
                <w:noProof/>
                <w:szCs w:val="28"/>
              </w:rPr>
            </w:pPr>
            <w:r w:rsidRPr="00A506D0">
              <w:rPr>
                <w:rFonts w:eastAsia="Calibri"/>
                <w:b/>
                <w:noProof/>
                <w:sz w:val="28"/>
                <w:szCs w:val="28"/>
              </w:rPr>
              <w:t>STT</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5D6E00FD" w14:textId="77777777" w:rsidR="00C122E9" w:rsidRPr="00A506D0" w:rsidRDefault="00C122E9" w:rsidP="005B1CC1">
            <w:pPr>
              <w:spacing w:before="60" w:after="60" w:line="340" w:lineRule="exact"/>
              <w:jc w:val="center"/>
              <w:rPr>
                <w:rFonts w:eastAsia="Calibri"/>
                <w:b/>
                <w:noProof/>
                <w:szCs w:val="28"/>
                <w:lang w:val="vi-VN"/>
              </w:rPr>
            </w:pPr>
            <w:r w:rsidRPr="00A506D0">
              <w:rPr>
                <w:rFonts w:eastAsia="Calibri"/>
                <w:b/>
                <w:noProof/>
                <w:sz w:val="28"/>
                <w:szCs w:val="28"/>
                <w:lang w:val="vi-VN"/>
              </w:rPr>
              <w:t>Nhiệm vụ</w:t>
            </w:r>
          </w:p>
        </w:tc>
      </w:tr>
      <w:tr w:rsidR="00A506D0" w:rsidRPr="00A506D0" w14:paraId="4173F3A4" w14:textId="77777777" w:rsidTr="00CA2857">
        <w:tc>
          <w:tcPr>
            <w:tcW w:w="686" w:type="dxa"/>
            <w:tcBorders>
              <w:top w:val="single" w:sz="4" w:space="0" w:color="000000"/>
              <w:left w:val="single" w:sz="4" w:space="0" w:color="000000"/>
              <w:bottom w:val="single" w:sz="4" w:space="0" w:color="000000"/>
              <w:right w:val="single" w:sz="4" w:space="0" w:color="000000"/>
            </w:tcBorders>
            <w:vAlign w:val="center"/>
            <w:hideMark/>
          </w:tcPr>
          <w:p w14:paraId="181840D8" w14:textId="77777777" w:rsidR="00C122E9" w:rsidRPr="00CA2857" w:rsidRDefault="00C122E9" w:rsidP="005B1CC1">
            <w:pPr>
              <w:spacing w:before="60" w:after="60" w:line="340" w:lineRule="exact"/>
              <w:ind w:right="49"/>
              <w:jc w:val="center"/>
              <w:rPr>
                <w:rFonts w:eastAsia="Calibri"/>
                <w:b/>
                <w:noProof/>
                <w:sz w:val="26"/>
                <w:szCs w:val="26"/>
              </w:rPr>
            </w:pPr>
            <w:r w:rsidRPr="00CA2857">
              <w:rPr>
                <w:rFonts w:eastAsia="Calibri"/>
                <w:b/>
                <w:noProof/>
                <w:sz w:val="26"/>
                <w:szCs w:val="26"/>
              </w:rPr>
              <w:t>I</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757C6D24" w14:textId="77777777" w:rsidR="00C122E9" w:rsidRPr="00CA2857" w:rsidRDefault="00C122E9" w:rsidP="005B1CC1">
            <w:pPr>
              <w:spacing w:before="60" w:after="60" w:line="340" w:lineRule="exact"/>
              <w:jc w:val="both"/>
              <w:rPr>
                <w:rFonts w:eastAsia="Calibri"/>
                <w:b/>
                <w:noProof/>
                <w:sz w:val="26"/>
                <w:szCs w:val="26"/>
              </w:rPr>
            </w:pPr>
            <w:r w:rsidRPr="00CA2857">
              <w:rPr>
                <w:rFonts w:eastAsia="Calibri"/>
                <w:b/>
                <w:noProof/>
                <w:sz w:val="26"/>
                <w:szCs w:val="26"/>
                <w:lang w:val="vi-VN"/>
              </w:rPr>
              <w:t>CÁC LUẬT, PHÁP LỆNH</w:t>
            </w:r>
            <w:r w:rsidRPr="00CA2857">
              <w:rPr>
                <w:rFonts w:eastAsia="Calibri"/>
                <w:b/>
                <w:noProof/>
                <w:sz w:val="26"/>
                <w:szCs w:val="26"/>
              </w:rPr>
              <w:t>, NGHỊ QUYẾT</w:t>
            </w:r>
          </w:p>
        </w:tc>
      </w:tr>
      <w:tr w:rsidR="00A506D0" w:rsidRPr="00A506D0" w14:paraId="4B63601B"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1856B445" w14:textId="77777777" w:rsidR="00C122E9" w:rsidRPr="00A506D0" w:rsidRDefault="00C122E9" w:rsidP="005B1CC1">
            <w:pPr>
              <w:numPr>
                <w:ilvl w:val="0"/>
                <w:numId w:val="1"/>
              </w:numPr>
              <w:spacing w:before="60" w:after="60" w:line="340" w:lineRule="exact"/>
              <w:ind w:left="0" w:right="-434"/>
              <w:jc w:val="center"/>
              <w:rPr>
                <w:rFonts w:eastAsia="Calibri"/>
                <w:noProof/>
                <w:szCs w:val="28"/>
                <w:lang w:val="vi-VN"/>
              </w:rPr>
            </w:pP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514E7ECD" w14:textId="7FE6A391" w:rsidR="00C122E9" w:rsidRPr="00A506D0" w:rsidRDefault="00C122E9">
            <w:pPr>
              <w:spacing w:before="60" w:after="60" w:line="340" w:lineRule="exact"/>
              <w:jc w:val="both"/>
              <w:rPr>
                <w:rFonts w:eastAsia="Calibri"/>
                <w:noProof/>
                <w:spacing w:val="-2"/>
                <w:szCs w:val="28"/>
                <w:lang w:val="vi-VN"/>
              </w:rPr>
            </w:pPr>
            <w:r w:rsidRPr="00A506D0">
              <w:rPr>
                <w:rFonts w:eastAsia="Calibri"/>
                <w:noProof/>
                <w:spacing w:val="-2"/>
                <w:sz w:val="28"/>
                <w:szCs w:val="28"/>
                <w:lang w:val="vi-VN"/>
              </w:rPr>
              <w:t>Nghiên cứu, rà soát để sửa đổi, bổ sung Luật Bảo hiểm y tế</w:t>
            </w:r>
          </w:p>
        </w:tc>
      </w:tr>
      <w:tr w:rsidR="00A506D0" w:rsidRPr="00A506D0" w14:paraId="4D0D0A40"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3E6AB949" w14:textId="77777777" w:rsidR="00C122E9" w:rsidRPr="00A506D0" w:rsidRDefault="00C122E9" w:rsidP="005B1CC1">
            <w:pPr>
              <w:numPr>
                <w:ilvl w:val="0"/>
                <w:numId w:val="1"/>
              </w:numPr>
              <w:spacing w:before="60" w:after="60" w:line="340" w:lineRule="exact"/>
              <w:ind w:left="0" w:right="-434"/>
              <w:jc w:val="center"/>
              <w:rPr>
                <w:rFonts w:eastAsia="Calibri"/>
                <w:noProof/>
                <w:szCs w:val="28"/>
                <w:lang w:val="vi-VN"/>
              </w:rPr>
            </w:pP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F52F851" w14:textId="4E1DF327" w:rsidR="00C122E9" w:rsidRPr="00A506D0" w:rsidRDefault="00C122E9">
            <w:pPr>
              <w:spacing w:before="60" w:after="60" w:line="340" w:lineRule="exact"/>
              <w:jc w:val="both"/>
              <w:rPr>
                <w:rFonts w:eastAsia="Calibri"/>
                <w:noProof/>
                <w:szCs w:val="28"/>
                <w:lang w:val="vi-VN"/>
              </w:rPr>
            </w:pPr>
            <w:r w:rsidRPr="00A506D0">
              <w:rPr>
                <w:rFonts w:eastAsia="Calibri"/>
                <w:noProof/>
                <w:sz w:val="28"/>
                <w:szCs w:val="28"/>
                <w:lang w:val="vi-VN"/>
              </w:rPr>
              <w:t>Nghiên cứu, rà soát Luật Phòng, chống bệnh truyền nhiễm và xây dựng dự án Luật điều chỉnh về phòng bệnh và nâng cao sức khỏe</w:t>
            </w:r>
          </w:p>
        </w:tc>
      </w:tr>
      <w:tr w:rsidR="00A506D0" w:rsidRPr="00A506D0" w14:paraId="6245B81F"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084F1664" w14:textId="77777777" w:rsidR="00C122E9" w:rsidRPr="00A506D0" w:rsidRDefault="00C122E9" w:rsidP="005B1CC1">
            <w:pPr>
              <w:numPr>
                <w:ilvl w:val="0"/>
                <w:numId w:val="1"/>
              </w:numPr>
              <w:spacing w:before="60" w:after="60" w:line="340" w:lineRule="exact"/>
              <w:ind w:left="0" w:right="-434"/>
              <w:jc w:val="center"/>
              <w:rPr>
                <w:rFonts w:eastAsia="Calibri"/>
                <w:noProof/>
                <w:szCs w:val="28"/>
                <w:lang w:val="vi-VN"/>
              </w:rPr>
            </w:pP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5D1AA556" w14:textId="6E05F436" w:rsidR="00C122E9" w:rsidRPr="00A506D0" w:rsidRDefault="00C122E9">
            <w:pPr>
              <w:spacing w:before="60" w:after="60" w:line="340" w:lineRule="exact"/>
              <w:jc w:val="both"/>
              <w:rPr>
                <w:rFonts w:eastAsia="Calibri"/>
                <w:noProof/>
                <w:szCs w:val="28"/>
                <w:lang w:val="vi-VN"/>
              </w:rPr>
            </w:pPr>
            <w:r w:rsidRPr="00A506D0">
              <w:rPr>
                <w:rFonts w:eastAsia="Calibri"/>
                <w:noProof/>
                <w:sz w:val="28"/>
                <w:szCs w:val="28"/>
                <w:lang w:val="vi-VN"/>
              </w:rPr>
              <w:t>Nghiên cứu, rà soát Pháp lệnh về tình trạng khẩn cấp, xây dựng dự án Luật điều chỉnh về tình trạng khẩn cấp</w:t>
            </w:r>
          </w:p>
        </w:tc>
      </w:tr>
      <w:tr w:rsidR="00A506D0" w:rsidRPr="00A506D0" w14:paraId="62CB052E"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27B55BF9" w14:textId="77777777" w:rsidR="00C122E9" w:rsidRPr="00A506D0" w:rsidRDefault="00C122E9" w:rsidP="005B1CC1">
            <w:pPr>
              <w:numPr>
                <w:ilvl w:val="0"/>
                <w:numId w:val="1"/>
              </w:numPr>
              <w:spacing w:before="60" w:after="60" w:line="340" w:lineRule="exact"/>
              <w:ind w:left="0" w:right="-434"/>
              <w:jc w:val="center"/>
              <w:rPr>
                <w:rFonts w:eastAsia="Calibri"/>
                <w:noProof/>
                <w:szCs w:val="28"/>
                <w:lang w:val="vi-VN"/>
              </w:rPr>
            </w:pP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739629B5" w14:textId="11ABCF4B" w:rsidR="00C122E9" w:rsidRPr="00A506D0" w:rsidRDefault="00C122E9">
            <w:pPr>
              <w:spacing w:before="60" w:after="60" w:line="340" w:lineRule="exact"/>
              <w:jc w:val="both"/>
              <w:rPr>
                <w:rFonts w:eastAsia="Calibri"/>
                <w:noProof/>
                <w:spacing w:val="-4"/>
                <w:szCs w:val="28"/>
                <w:lang w:val="vi-VN"/>
              </w:rPr>
            </w:pPr>
            <w:r w:rsidRPr="00A506D0">
              <w:rPr>
                <w:rFonts w:eastAsia="Calibri"/>
                <w:noProof/>
                <w:spacing w:val="-4"/>
                <w:sz w:val="28"/>
                <w:szCs w:val="28"/>
                <w:lang w:val="vi-VN"/>
              </w:rPr>
              <w:t xml:space="preserve">Nghiên cứu, xây dựng dự án Luật về </w:t>
            </w:r>
            <w:r w:rsidR="006F6AE8">
              <w:rPr>
                <w:rFonts w:eastAsia="Calibri"/>
                <w:noProof/>
                <w:spacing w:val="-4"/>
                <w:sz w:val="28"/>
                <w:szCs w:val="28"/>
                <w:lang w:val="vi-VN"/>
              </w:rPr>
              <w:t>thiết bị</w:t>
            </w:r>
            <w:r w:rsidRPr="00A506D0">
              <w:rPr>
                <w:rFonts w:eastAsia="Calibri"/>
                <w:noProof/>
                <w:spacing w:val="-4"/>
                <w:sz w:val="28"/>
                <w:szCs w:val="28"/>
                <w:lang w:val="vi-VN"/>
              </w:rPr>
              <w:t xml:space="preserve"> y tế</w:t>
            </w:r>
          </w:p>
        </w:tc>
      </w:tr>
      <w:tr w:rsidR="0095723D" w:rsidRPr="00A506D0" w14:paraId="71DA29A3"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68BEE55C" w14:textId="77777777" w:rsidR="0095723D" w:rsidRPr="00A506D0" w:rsidRDefault="0095723D" w:rsidP="005B1CC1">
            <w:pPr>
              <w:numPr>
                <w:ilvl w:val="0"/>
                <w:numId w:val="1"/>
              </w:numPr>
              <w:spacing w:before="60" w:after="60" w:line="340" w:lineRule="exact"/>
              <w:ind w:left="0" w:right="-434"/>
              <w:jc w:val="center"/>
              <w:rPr>
                <w:rFonts w:eastAsia="Calibri"/>
                <w:noProof/>
                <w:szCs w:val="28"/>
                <w:lang w:val="vi-VN"/>
              </w:rPr>
            </w:pPr>
          </w:p>
        </w:tc>
        <w:tc>
          <w:tcPr>
            <w:tcW w:w="8674" w:type="dxa"/>
            <w:tcBorders>
              <w:top w:val="single" w:sz="4" w:space="0" w:color="000000"/>
              <w:left w:val="single" w:sz="4" w:space="0" w:color="000000"/>
              <w:bottom w:val="single" w:sz="4" w:space="0" w:color="000000"/>
              <w:right w:val="single" w:sz="4" w:space="0" w:color="000000"/>
            </w:tcBorders>
            <w:vAlign w:val="center"/>
          </w:tcPr>
          <w:p w14:paraId="7E71E138" w14:textId="5A542537" w:rsidR="0095723D" w:rsidRPr="00CA2857" w:rsidRDefault="0095723D">
            <w:pPr>
              <w:spacing w:before="60" w:after="60" w:line="340" w:lineRule="exact"/>
              <w:jc w:val="both"/>
              <w:rPr>
                <w:rFonts w:eastAsia="Calibri"/>
                <w:noProof/>
                <w:spacing w:val="-4"/>
                <w:sz w:val="28"/>
                <w:szCs w:val="28"/>
              </w:rPr>
            </w:pPr>
            <w:r>
              <w:rPr>
                <w:rFonts w:eastAsia="Calibri"/>
                <w:noProof/>
                <w:spacing w:val="-4"/>
                <w:sz w:val="28"/>
                <w:szCs w:val="28"/>
              </w:rPr>
              <w:t>Nghiên cứu sửa đổi Luật Dược</w:t>
            </w:r>
          </w:p>
        </w:tc>
      </w:tr>
      <w:tr w:rsidR="00E4550F" w:rsidRPr="00A506D0" w14:paraId="7B31A687"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4EFED00E" w14:textId="77777777" w:rsidR="00E4550F" w:rsidRPr="00A506D0" w:rsidRDefault="00E4550F" w:rsidP="005B1CC1">
            <w:pPr>
              <w:numPr>
                <w:ilvl w:val="0"/>
                <w:numId w:val="1"/>
              </w:numPr>
              <w:spacing w:before="60" w:after="60" w:line="340" w:lineRule="exact"/>
              <w:ind w:left="0" w:right="-434"/>
              <w:jc w:val="center"/>
              <w:rPr>
                <w:rFonts w:eastAsia="Calibri"/>
                <w:noProof/>
                <w:szCs w:val="28"/>
                <w:lang w:val="vi-VN"/>
              </w:rPr>
            </w:pPr>
          </w:p>
        </w:tc>
        <w:tc>
          <w:tcPr>
            <w:tcW w:w="8674" w:type="dxa"/>
            <w:tcBorders>
              <w:top w:val="single" w:sz="4" w:space="0" w:color="000000"/>
              <w:left w:val="single" w:sz="4" w:space="0" w:color="000000"/>
              <w:bottom w:val="single" w:sz="4" w:space="0" w:color="000000"/>
              <w:right w:val="single" w:sz="4" w:space="0" w:color="000000"/>
            </w:tcBorders>
            <w:vAlign w:val="center"/>
          </w:tcPr>
          <w:p w14:paraId="208075BD" w14:textId="0F8AE522" w:rsidR="00E4550F" w:rsidRPr="00DF1769" w:rsidRDefault="00E4550F">
            <w:pPr>
              <w:spacing w:before="60" w:after="60" w:line="340" w:lineRule="exact"/>
              <w:jc w:val="both"/>
              <w:rPr>
                <w:rFonts w:eastAsia="Calibri"/>
                <w:noProof/>
                <w:spacing w:val="-4"/>
                <w:sz w:val="28"/>
                <w:szCs w:val="28"/>
              </w:rPr>
            </w:pPr>
            <w:r w:rsidRPr="00C46A8A">
              <w:rPr>
                <w:rFonts w:eastAsia="Calibri"/>
                <w:noProof/>
                <w:spacing w:val="-4"/>
                <w:sz w:val="28"/>
                <w:szCs w:val="28"/>
                <w:lang w:val="vi-VN"/>
              </w:rPr>
              <w:t>Nghiên cứu</w:t>
            </w:r>
            <w:r w:rsidR="003369F1" w:rsidRPr="00C46A8A">
              <w:rPr>
                <w:rFonts w:eastAsia="Calibri"/>
                <w:noProof/>
                <w:spacing w:val="-4"/>
                <w:sz w:val="28"/>
                <w:szCs w:val="28"/>
              </w:rPr>
              <w:t xml:space="preserve"> sửa đổi </w:t>
            </w:r>
            <w:r w:rsidRPr="00C46A8A">
              <w:rPr>
                <w:rFonts w:eastAsia="Calibri"/>
                <w:noProof/>
                <w:spacing w:val="-4"/>
                <w:sz w:val="28"/>
                <w:szCs w:val="28"/>
                <w:lang w:val="vi-VN"/>
              </w:rPr>
              <w:t>Luật</w:t>
            </w:r>
            <w:r w:rsidRPr="00C46A8A">
              <w:rPr>
                <w:rFonts w:eastAsia="Calibri"/>
                <w:noProof/>
                <w:spacing w:val="-4"/>
                <w:sz w:val="28"/>
                <w:szCs w:val="28"/>
              </w:rPr>
              <w:t xml:space="preserve"> An toàn thực phẩm</w:t>
            </w:r>
          </w:p>
        </w:tc>
      </w:tr>
      <w:tr w:rsidR="00A506D0" w:rsidRPr="00A506D0" w14:paraId="586480C6"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21929C71" w14:textId="77777777" w:rsidR="00C122E9" w:rsidRPr="00A506D0" w:rsidRDefault="00C122E9" w:rsidP="005B1CC1">
            <w:pPr>
              <w:numPr>
                <w:ilvl w:val="0"/>
                <w:numId w:val="1"/>
              </w:numPr>
              <w:spacing w:before="60" w:after="60" w:line="340" w:lineRule="exact"/>
              <w:ind w:left="0" w:right="-434"/>
              <w:jc w:val="center"/>
              <w:rPr>
                <w:rFonts w:eastAsia="Calibri"/>
                <w:noProof/>
                <w:szCs w:val="28"/>
                <w:lang w:val="vi-VN"/>
              </w:rPr>
            </w:pP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0884FA7" w14:textId="0621EE80" w:rsidR="00C122E9" w:rsidRPr="00A506D0" w:rsidRDefault="00C122E9">
            <w:pPr>
              <w:spacing w:before="60" w:after="60" w:line="340" w:lineRule="exact"/>
              <w:jc w:val="both"/>
              <w:rPr>
                <w:rFonts w:eastAsia="Calibri"/>
                <w:noProof/>
                <w:spacing w:val="-4"/>
                <w:szCs w:val="28"/>
                <w:lang w:val="vi-VN"/>
              </w:rPr>
            </w:pPr>
            <w:r w:rsidRPr="00A506D0">
              <w:rPr>
                <w:rFonts w:eastAsia="Calibri"/>
                <w:noProof/>
                <w:spacing w:val="-4"/>
                <w:sz w:val="28"/>
                <w:szCs w:val="28"/>
                <w:lang w:val="vi-VN"/>
              </w:rPr>
              <w:t xml:space="preserve">Nghiên cứu, xây dựng dự án </w:t>
            </w:r>
            <w:bookmarkStart w:id="0" w:name="_GoBack"/>
            <w:bookmarkEnd w:id="0"/>
            <w:r w:rsidRPr="00A506D0">
              <w:rPr>
                <w:rFonts w:eastAsia="Calibri"/>
                <w:noProof/>
                <w:spacing w:val="-4"/>
                <w:sz w:val="28"/>
                <w:szCs w:val="28"/>
                <w:lang w:val="vi-VN"/>
              </w:rPr>
              <w:t>Luật điều chỉnh về đơn vị sự nghiệp công lập</w:t>
            </w:r>
          </w:p>
        </w:tc>
      </w:tr>
      <w:tr w:rsidR="003369F1" w:rsidRPr="00A506D0" w14:paraId="198F95AB"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0E75C5C8" w14:textId="77777777" w:rsidR="003369F1" w:rsidRPr="00A506D0" w:rsidRDefault="003369F1" w:rsidP="005B1CC1">
            <w:pPr>
              <w:numPr>
                <w:ilvl w:val="0"/>
                <w:numId w:val="1"/>
              </w:numPr>
              <w:spacing w:before="60" w:after="60" w:line="340" w:lineRule="exact"/>
              <w:ind w:left="0" w:right="-434"/>
              <w:jc w:val="center"/>
              <w:rPr>
                <w:rFonts w:eastAsia="Calibri"/>
                <w:noProof/>
                <w:szCs w:val="28"/>
                <w:lang w:val="vi-VN"/>
              </w:rPr>
            </w:pPr>
          </w:p>
        </w:tc>
        <w:tc>
          <w:tcPr>
            <w:tcW w:w="8674" w:type="dxa"/>
            <w:tcBorders>
              <w:top w:val="single" w:sz="4" w:space="0" w:color="000000"/>
              <w:left w:val="single" w:sz="4" w:space="0" w:color="000000"/>
              <w:bottom w:val="single" w:sz="4" w:space="0" w:color="000000"/>
              <w:right w:val="single" w:sz="4" w:space="0" w:color="000000"/>
            </w:tcBorders>
            <w:vAlign w:val="center"/>
          </w:tcPr>
          <w:p w14:paraId="57314E24" w14:textId="62B6ECA0" w:rsidR="003369F1" w:rsidRPr="00DF1769" w:rsidRDefault="003369F1">
            <w:pPr>
              <w:spacing w:before="60" w:after="60" w:line="340" w:lineRule="exact"/>
              <w:jc w:val="both"/>
              <w:rPr>
                <w:rFonts w:eastAsia="Calibri"/>
                <w:noProof/>
                <w:spacing w:val="-4"/>
                <w:sz w:val="28"/>
                <w:szCs w:val="28"/>
              </w:rPr>
            </w:pPr>
            <w:r w:rsidRPr="00A506D0">
              <w:rPr>
                <w:rFonts w:eastAsia="Calibri"/>
                <w:noProof/>
                <w:spacing w:val="-4"/>
                <w:sz w:val="28"/>
                <w:szCs w:val="28"/>
                <w:lang w:val="vi-VN"/>
              </w:rPr>
              <w:t>Nghiên cứu</w:t>
            </w:r>
            <w:r>
              <w:rPr>
                <w:rFonts w:eastAsia="Calibri"/>
                <w:noProof/>
                <w:spacing w:val="-4"/>
                <w:sz w:val="28"/>
                <w:szCs w:val="28"/>
              </w:rPr>
              <w:t xml:space="preserve"> sửa đổi </w:t>
            </w:r>
            <w:r w:rsidRPr="00A506D0">
              <w:rPr>
                <w:rFonts w:eastAsia="Calibri"/>
                <w:noProof/>
                <w:spacing w:val="-4"/>
                <w:sz w:val="28"/>
                <w:szCs w:val="28"/>
                <w:lang w:val="vi-VN"/>
              </w:rPr>
              <w:t>Luật</w:t>
            </w:r>
            <w:r>
              <w:rPr>
                <w:rFonts w:eastAsia="Calibri"/>
                <w:noProof/>
                <w:spacing w:val="-4"/>
                <w:sz w:val="28"/>
                <w:szCs w:val="28"/>
              </w:rPr>
              <w:t xml:space="preserve"> dự trữ quốc gia</w:t>
            </w:r>
          </w:p>
        </w:tc>
      </w:tr>
      <w:tr w:rsidR="003643F6" w:rsidRPr="00A506D0" w14:paraId="4A1C4557"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34C1F52F" w14:textId="77777777" w:rsidR="003643F6" w:rsidRPr="00A506D0" w:rsidRDefault="003643F6" w:rsidP="005B1CC1">
            <w:pPr>
              <w:numPr>
                <w:ilvl w:val="0"/>
                <w:numId w:val="1"/>
              </w:numPr>
              <w:spacing w:before="60" w:after="60" w:line="340" w:lineRule="exact"/>
              <w:ind w:left="0" w:right="-434"/>
              <w:jc w:val="center"/>
              <w:rPr>
                <w:rFonts w:eastAsia="Calibri"/>
                <w:noProof/>
                <w:szCs w:val="28"/>
                <w:lang w:val="vi-VN"/>
              </w:rPr>
            </w:pPr>
          </w:p>
        </w:tc>
        <w:tc>
          <w:tcPr>
            <w:tcW w:w="8674" w:type="dxa"/>
            <w:tcBorders>
              <w:top w:val="single" w:sz="4" w:space="0" w:color="000000"/>
              <w:left w:val="single" w:sz="4" w:space="0" w:color="000000"/>
              <w:bottom w:val="single" w:sz="4" w:space="0" w:color="000000"/>
              <w:right w:val="single" w:sz="4" w:space="0" w:color="000000"/>
            </w:tcBorders>
            <w:vAlign w:val="center"/>
          </w:tcPr>
          <w:p w14:paraId="0FE7C925" w14:textId="527B5375" w:rsidR="003643F6" w:rsidRPr="008F7DD5" w:rsidRDefault="003643F6">
            <w:pPr>
              <w:spacing w:before="60" w:after="60" w:line="340" w:lineRule="exact"/>
              <w:jc w:val="both"/>
              <w:rPr>
                <w:rFonts w:eastAsia="Calibri"/>
                <w:noProof/>
                <w:spacing w:val="-4"/>
                <w:sz w:val="28"/>
                <w:szCs w:val="28"/>
              </w:rPr>
            </w:pPr>
            <w:r>
              <w:rPr>
                <w:rFonts w:eastAsia="Calibri"/>
                <w:noProof/>
                <w:spacing w:val="-4"/>
                <w:sz w:val="28"/>
                <w:szCs w:val="28"/>
              </w:rPr>
              <w:t>Nghiên cứu sửa đổi Luật ngân sách nhà nước</w:t>
            </w:r>
          </w:p>
        </w:tc>
      </w:tr>
      <w:tr w:rsidR="003643F6" w:rsidRPr="00A506D0" w14:paraId="0B11ABF2"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44F96BF8" w14:textId="77777777" w:rsidR="003643F6" w:rsidRPr="00A506D0" w:rsidRDefault="003643F6" w:rsidP="005B1CC1">
            <w:pPr>
              <w:numPr>
                <w:ilvl w:val="0"/>
                <w:numId w:val="1"/>
              </w:numPr>
              <w:spacing w:before="60" w:after="60" w:line="340" w:lineRule="exact"/>
              <w:ind w:left="0" w:right="-434"/>
              <w:jc w:val="center"/>
              <w:rPr>
                <w:rFonts w:eastAsia="Calibri"/>
                <w:noProof/>
                <w:szCs w:val="28"/>
                <w:lang w:val="vi-VN"/>
              </w:rPr>
            </w:pPr>
          </w:p>
        </w:tc>
        <w:tc>
          <w:tcPr>
            <w:tcW w:w="8674" w:type="dxa"/>
            <w:tcBorders>
              <w:top w:val="single" w:sz="4" w:space="0" w:color="000000"/>
              <w:left w:val="single" w:sz="4" w:space="0" w:color="000000"/>
              <w:bottom w:val="single" w:sz="4" w:space="0" w:color="000000"/>
              <w:right w:val="single" w:sz="4" w:space="0" w:color="000000"/>
            </w:tcBorders>
            <w:vAlign w:val="center"/>
          </w:tcPr>
          <w:p w14:paraId="2FAFEC86" w14:textId="38C6B9E6" w:rsidR="003643F6" w:rsidRDefault="003643F6">
            <w:pPr>
              <w:spacing w:before="60" w:after="60" w:line="340" w:lineRule="exact"/>
              <w:jc w:val="both"/>
              <w:rPr>
                <w:rFonts w:eastAsia="Calibri"/>
                <w:noProof/>
                <w:spacing w:val="-4"/>
                <w:sz w:val="28"/>
                <w:szCs w:val="28"/>
              </w:rPr>
            </w:pPr>
            <w:r w:rsidRPr="003643F6">
              <w:rPr>
                <w:rFonts w:eastAsia="Calibri"/>
                <w:noProof/>
                <w:spacing w:val="-4"/>
                <w:sz w:val="28"/>
                <w:szCs w:val="28"/>
              </w:rPr>
              <w:t>Nghiên cứu, xây dựng dự án Luật điều chỉnh về hoạt động từ thiện, nhân đạo</w:t>
            </w:r>
          </w:p>
        </w:tc>
      </w:tr>
      <w:tr w:rsidR="00A506D0" w:rsidRPr="00A506D0" w14:paraId="17015A73"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22AD143B" w14:textId="77777777" w:rsidR="00C122E9" w:rsidRPr="00A506D0" w:rsidRDefault="00C122E9" w:rsidP="005B1CC1">
            <w:pPr>
              <w:numPr>
                <w:ilvl w:val="0"/>
                <w:numId w:val="1"/>
              </w:numPr>
              <w:spacing w:before="60" w:after="60" w:line="340" w:lineRule="exact"/>
              <w:ind w:left="0" w:right="-434"/>
              <w:jc w:val="center"/>
              <w:rPr>
                <w:rFonts w:eastAsia="Calibri"/>
                <w:noProof/>
                <w:szCs w:val="28"/>
                <w:lang w:val="vi-VN"/>
              </w:rPr>
            </w:pPr>
          </w:p>
        </w:tc>
        <w:tc>
          <w:tcPr>
            <w:tcW w:w="8674" w:type="dxa"/>
            <w:tcBorders>
              <w:top w:val="single" w:sz="4" w:space="0" w:color="000000"/>
              <w:left w:val="single" w:sz="4" w:space="0" w:color="000000"/>
              <w:bottom w:val="single" w:sz="4" w:space="0" w:color="000000"/>
              <w:right w:val="single" w:sz="4" w:space="0" w:color="000000"/>
            </w:tcBorders>
            <w:vAlign w:val="center"/>
          </w:tcPr>
          <w:p w14:paraId="64EDEF47" w14:textId="6AC99B88" w:rsidR="00C122E9" w:rsidRPr="00CA2857" w:rsidRDefault="003643F6">
            <w:pPr>
              <w:spacing w:before="60" w:after="60" w:line="340" w:lineRule="exact"/>
              <w:jc w:val="both"/>
              <w:rPr>
                <w:rFonts w:eastAsia="Calibri"/>
                <w:noProof/>
                <w:spacing w:val="6"/>
                <w:sz w:val="28"/>
                <w:szCs w:val="28"/>
              </w:rPr>
            </w:pPr>
            <w:r w:rsidRPr="00CA2857">
              <w:rPr>
                <w:noProof/>
                <w:spacing w:val="6"/>
                <w:sz w:val="28"/>
                <w:szCs w:val="28"/>
                <w:lang w:val="vi-VN"/>
              </w:rPr>
              <w:t xml:space="preserve">Rà soát, nghiên cứu xây dựng các dự án </w:t>
            </w:r>
            <w:r w:rsidRPr="00CA2857">
              <w:rPr>
                <w:noProof/>
                <w:spacing w:val="6"/>
                <w:sz w:val="28"/>
                <w:szCs w:val="28"/>
              </w:rPr>
              <w:t>l</w:t>
            </w:r>
            <w:r w:rsidRPr="00CA2857">
              <w:rPr>
                <w:noProof/>
                <w:spacing w:val="6"/>
                <w:sz w:val="28"/>
                <w:szCs w:val="28"/>
                <w:lang w:val="vi-VN"/>
              </w:rPr>
              <w:t>uật khác</w:t>
            </w:r>
            <w:r w:rsidR="00543185">
              <w:rPr>
                <w:noProof/>
                <w:spacing w:val="6"/>
                <w:sz w:val="28"/>
                <w:szCs w:val="28"/>
              </w:rPr>
              <w:t xml:space="preserve"> </w:t>
            </w:r>
            <w:r w:rsidR="00543185">
              <w:rPr>
                <w:noProof/>
                <w:sz w:val="28"/>
                <w:szCs w:val="28"/>
              </w:rPr>
              <w:t>có liên quan đến nội dung Nghị quyết này</w:t>
            </w:r>
            <w:r w:rsidRPr="00CA2857">
              <w:rPr>
                <w:noProof/>
                <w:spacing w:val="6"/>
                <w:sz w:val="28"/>
                <w:szCs w:val="28"/>
                <w:lang w:val="vi-VN"/>
              </w:rPr>
              <w:t xml:space="preserve"> để đáp ứng yêu cầu thực tiễn</w:t>
            </w:r>
            <w:r w:rsidRPr="00CA2857" w:rsidDel="00823666">
              <w:rPr>
                <w:rFonts w:eastAsia="Calibri"/>
                <w:noProof/>
                <w:spacing w:val="6"/>
                <w:sz w:val="28"/>
                <w:szCs w:val="28"/>
              </w:rPr>
              <w:t xml:space="preserve"> </w:t>
            </w:r>
          </w:p>
        </w:tc>
      </w:tr>
      <w:tr w:rsidR="00A506D0" w:rsidRPr="00A506D0" w14:paraId="0DC56954"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hideMark/>
          </w:tcPr>
          <w:p w14:paraId="29F7B795" w14:textId="77777777" w:rsidR="00C122E9" w:rsidRPr="00CA2857" w:rsidRDefault="00C122E9" w:rsidP="005B1CC1">
            <w:pPr>
              <w:spacing w:before="60" w:after="60" w:line="340" w:lineRule="exact"/>
              <w:ind w:right="49"/>
              <w:jc w:val="center"/>
              <w:rPr>
                <w:rFonts w:eastAsia="Calibri"/>
                <w:b/>
                <w:noProof/>
                <w:sz w:val="26"/>
                <w:szCs w:val="26"/>
              </w:rPr>
            </w:pPr>
            <w:r w:rsidRPr="00CA2857">
              <w:rPr>
                <w:rFonts w:eastAsia="Calibri"/>
                <w:b/>
                <w:noProof/>
                <w:sz w:val="26"/>
                <w:szCs w:val="26"/>
              </w:rPr>
              <w:t>II</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F4AA5C0" w14:textId="77777777" w:rsidR="00C122E9" w:rsidRPr="00CA2857" w:rsidRDefault="00C122E9" w:rsidP="005B1CC1">
            <w:pPr>
              <w:spacing w:before="60" w:after="60" w:line="340" w:lineRule="exact"/>
              <w:jc w:val="both"/>
              <w:rPr>
                <w:rFonts w:eastAsia="Calibri"/>
                <w:b/>
                <w:noProof/>
                <w:sz w:val="26"/>
                <w:szCs w:val="26"/>
                <w:lang w:val="vi-VN"/>
              </w:rPr>
            </w:pPr>
            <w:r w:rsidRPr="00CA2857">
              <w:rPr>
                <w:rFonts w:eastAsia="Calibri"/>
                <w:b/>
                <w:noProof/>
                <w:sz w:val="26"/>
                <w:szCs w:val="26"/>
                <w:lang w:val="vi-VN"/>
              </w:rPr>
              <w:t>CÁC VĂN BẢN THUỘC THẨM QUYỀN CHÍNH PHỦ, THỦ TƯỚNG CHÍNH PHỦ</w:t>
            </w:r>
          </w:p>
        </w:tc>
      </w:tr>
      <w:tr w:rsidR="00A506D0" w:rsidRPr="00A506D0" w14:paraId="743FDC4C"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6966864B" w14:textId="77777777" w:rsidR="00C122E9" w:rsidRPr="00A506D0" w:rsidRDefault="00C122E9" w:rsidP="005B1CC1">
            <w:pPr>
              <w:numPr>
                <w:ilvl w:val="0"/>
                <w:numId w:val="2"/>
              </w:numPr>
              <w:spacing w:before="60" w:after="60" w:line="340" w:lineRule="exact"/>
              <w:ind w:left="0" w:right="-434" w:firstLine="0"/>
              <w:jc w:val="center"/>
              <w:rPr>
                <w:rFonts w:eastAsia="Calibri"/>
                <w:noProof/>
                <w:szCs w:val="28"/>
                <w:lang w:val="vi-VN"/>
              </w:rPr>
            </w:pP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D3ACFBA" w14:textId="0EF31D93" w:rsidR="00C122E9" w:rsidRPr="00A506D0" w:rsidRDefault="00C122E9" w:rsidP="005B1CC1">
            <w:pPr>
              <w:spacing w:before="60" w:after="60" w:line="340" w:lineRule="exact"/>
              <w:jc w:val="both"/>
              <w:rPr>
                <w:rFonts w:eastAsia="Calibri"/>
                <w:noProof/>
                <w:szCs w:val="28"/>
                <w:lang w:val="vi-VN"/>
              </w:rPr>
            </w:pPr>
            <w:r w:rsidRPr="00A506D0">
              <w:rPr>
                <w:rFonts w:eastAsia="Calibri"/>
                <w:noProof/>
                <w:sz w:val="28"/>
                <w:szCs w:val="28"/>
                <w:lang w:val="vi-VN"/>
              </w:rPr>
              <w:t>Sửa đổi, bổ sung Nghị định số 146/2018/NĐ-CP ngày 17</w:t>
            </w:r>
            <w:r w:rsidR="00887AC8">
              <w:rPr>
                <w:rFonts w:eastAsia="Calibri"/>
                <w:noProof/>
                <w:sz w:val="28"/>
                <w:szCs w:val="28"/>
              </w:rPr>
              <w:t>/</w:t>
            </w:r>
            <w:r w:rsidRPr="00A506D0">
              <w:rPr>
                <w:rFonts w:eastAsia="Calibri"/>
                <w:noProof/>
                <w:sz w:val="28"/>
                <w:szCs w:val="28"/>
                <w:lang w:val="vi-VN"/>
              </w:rPr>
              <w:t>10</w:t>
            </w:r>
            <w:r w:rsidR="00887AC8">
              <w:rPr>
                <w:rFonts w:eastAsia="Calibri"/>
                <w:noProof/>
                <w:sz w:val="28"/>
                <w:szCs w:val="28"/>
              </w:rPr>
              <w:t>/</w:t>
            </w:r>
            <w:r w:rsidRPr="00A506D0">
              <w:rPr>
                <w:rFonts w:eastAsia="Calibri"/>
                <w:noProof/>
                <w:sz w:val="28"/>
                <w:szCs w:val="28"/>
                <w:lang w:val="vi-VN"/>
              </w:rPr>
              <w:t xml:space="preserve">2018 của Chính phủ </w:t>
            </w:r>
            <w:r w:rsidRPr="00A506D0">
              <w:rPr>
                <w:rFonts w:eastAsia="Calibri"/>
                <w:noProof/>
                <w:sz w:val="28"/>
                <w:szCs w:val="28"/>
              </w:rPr>
              <w:t>q</w:t>
            </w:r>
            <w:r w:rsidRPr="00A506D0">
              <w:rPr>
                <w:rFonts w:eastAsia="Calibri"/>
                <w:noProof/>
                <w:sz w:val="28"/>
                <w:szCs w:val="28"/>
                <w:lang w:val="vi-VN"/>
              </w:rPr>
              <w:t>uy định chi tiết và hướng dẫn thi hành một số điều của Luật Bảo hiểm y tế.</w:t>
            </w:r>
          </w:p>
        </w:tc>
      </w:tr>
      <w:tr w:rsidR="00A506D0" w:rsidRPr="00A506D0" w14:paraId="7BEF0D87"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50F3459F" w14:textId="77777777" w:rsidR="00C122E9" w:rsidRPr="00A506D0" w:rsidRDefault="00C122E9" w:rsidP="005B1CC1">
            <w:pPr>
              <w:numPr>
                <w:ilvl w:val="0"/>
                <w:numId w:val="2"/>
              </w:numPr>
              <w:spacing w:before="60" w:after="60" w:line="340" w:lineRule="exact"/>
              <w:ind w:left="0" w:right="-434" w:firstLine="0"/>
              <w:jc w:val="center"/>
              <w:rPr>
                <w:rFonts w:eastAsia="Calibri"/>
                <w:noProof/>
                <w:szCs w:val="28"/>
                <w:lang w:val="vi-VN"/>
              </w:rPr>
            </w:pP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1FC2C1E6" w14:textId="55E91896" w:rsidR="00C122E9" w:rsidRPr="00A506D0" w:rsidRDefault="008B1760" w:rsidP="005B1CC1">
            <w:pPr>
              <w:spacing w:before="60" w:after="60" w:line="340" w:lineRule="exact"/>
              <w:jc w:val="both"/>
              <w:rPr>
                <w:rFonts w:eastAsia="Calibri"/>
                <w:noProof/>
                <w:szCs w:val="28"/>
                <w:lang w:val="vi-VN"/>
              </w:rPr>
            </w:pPr>
            <w:r>
              <w:rPr>
                <w:rFonts w:eastAsia="Calibri"/>
                <w:noProof/>
                <w:sz w:val="28"/>
                <w:szCs w:val="28"/>
              </w:rPr>
              <w:t>Nghiên cứu</w:t>
            </w:r>
            <w:r w:rsidR="00C122E9" w:rsidRPr="00A506D0">
              <w:rPr>
                <w:rFonts w:eastAsia="Calibri"/>
                <w:noProof/>
                <w:sz w:val="28"/>
                <w:szCs w:val="28"/>
                <w:lang w:val="vi-VN"/>
              </w:rPr>
              <w:t xml:space="preserve"> sửa đổi:</w:t>
            </w:r>
          </w:p>
          <w:p w14:paraId="45114952" w14:textId="7B95F631" w:rsidR="00280A03" w:rsidRDefault="00C122E9" w:rsidP="005B1CC1">
            <w:pPr>
              <w:spacing w:before="60" w:after="60" w:line="340" w:lineRule="exact"/>
              <w:jc w:val="both"/>
              <w:rPr>
                <w:rFonts w:eastAsia="Calibri"/>
                <w:noProof/>
                <w:sz w:val="28"/>
                <w:szCs w:val="28"/>
                <w:lang w:val="vi-VN"/>
              </w:rPr>
            </w:pPr>
            <w:r w:rsidRPr="00A506D0">
              <w:rPr>
                <w:rFonts w:eastAsia="Calibri"/>
                <w:noProof/>
                <w:sz w:val="28"/>
                <w:szCs w:val="28"/>
                <w:lang w:val="vi-VN"/>
              </w:rPr>
              <w:t xml:space="preserve">- Nghị định số 204/2004/NĐ-CP của Chính phủ </w:t>
            </w:r>
            <w:proofErr w:type="spellStart"/>
            <w:r w:rsidRPr="00A506D0">
              <w:rPr>
                <w:iCs/>
                <w:sz w:val="28"/>
                <w:szCs w:val="28"/>
                <w:shd w:val="clear" w:color="auto" w:fill="FFFFFF"/>
              </w:rPr>
              <w:t>ngày</w:t>
            </w:r>
            <w:proofErr w:type="spellEnd"/>
            <w:r w:rsidRPr="00A506D0">
              <w:rPr>
                <w:iCs/>
                <w:sz w:val="28"/>
                <w:szCs w:val="28"/>
                <w:shd w:val="clear" w:color="auto" w:fill="FFFFFF"/>
              </w:rPr>
              <w:t xml:space="preserve"> 14</w:t>
            </w:r>
            <w:r w:rsidR="00887AC8">
              <w:rPr>
                <w:iCs/>
                <w:sz w:val="28"/>
                <w:szCs w:val="28"/>
                <w:shd w:val="clear" w:color="auto" w:fill="FFFFFF"/>
              </w:rPr>
              <w:t>/</w:t>
            </w:r>
            <w:r w:rsidRPr="00A506D0">
              <w:rPr>
                <w:iCs/>
                <w:sz w:val="28"/>
                <w:szCs w:val="28"/>
                <w:shd w:val="clear" w:color="auto" w:fill="FFFFFF"/>
              </w:rPr>
              <w:t>12</w:t>
            </w:r>
            <w:r w:rsidR="00887AC8">
              <w:rPr>
                <w:iCs/>
                <w:sz w:val="28"/>
                <w:szCs w:val="28"/>
                <w:shd w:val="clear" w:color="auto" w:fill="FFFFFF"/>
              </w:rPr>
              <w:t>/</w:t>
            </w:r>
            <w:r w:rsidRPr="00A506D0">
              <w:rPr>
                <w:iCs/>
                <w:sz w:val="28"/>
                <w:szCs w:val="28"/>
                <w:shd w:val="clear" w:color="auto" w:fill="FFFFFF"/>
              </w:rPr>
              <w:t>2004</w:t>
            </w:r>
            <w:r w:rsidRPr="00A506D0">
              <w:rPr>
                <w:rFonts w:eastAsia="Calibri"/>
                <w:noProof/>
                <w:sz w:val="28"/>
                <w:szCs w:val="28"/>
                <w:lang w:val="vi-VN"/>
              </w:rPr>
              <w:t xml:space="preserve"> về chế độ tiền lương đối với cán bộ, công chức, viên chức và lực lượng vũ trang</w:t>
            </w:r>
            <w:r w:rsidRPr="00A506D0">
              <w:rPr>
                <w:rFonts w:eastAsia="Calibri"/>
                <w:noProof/>
                <w:sz w:val="28"/>
                <w:szCs w:val="28"/>
              </w:rPr>
              <w:t>.</w:t>
            </w:r>
          </w:p>
          <w:p w14:paraId="38D68A8E" w14:textId="3D001704" w:rsidR="00280A03" w:rsidRDefault="00C122E9" w:rsidP="005B1CC1">
            <w:pPr>
              <w:spacing w:before="60" w:after="60" w:line="340" w:lineRule="exact"/>
              <w:jc w:val="both"/>
              <w:rPr>
                <w:rFonts w:eastAsia="Calibri"/>
                <w:noProof/>
                <w:sz w:val="28"/>
                <w:szCs w:val="28"/>
                <w:lang w:val="vi-VN"/>
              </w:rPr>
            </w:pPr>
            <w:r w:rsidRPr="00A506D0">
              <w:rPr>
                <w:rFonts w:eastAsia="Calibri"/>
                <w:noProof/>
                <w:sz w:val="28"/>
                <w:szCs w:val="28"/>
                <w:lang w:val="vi-VN"/>
              </w:rPr>
              <w:t xml:space="preserve">- Quyết định số 73/2011/QĐ-TTg </w:t>
            </w:r>
            <w:proofErr w:type="spellStart"/>
            <w:r w:rsidRPr="00A506D0">
              <w:rPr>
                <w:iCs/>
                <w:sz w:val="28"/>
                <w:szCs w:val="28"/>
                <w:shd w:val="clear" w:color="auto" w:fill="FFFFFF"/>
              </w:rPr>
              <w:t>ngày</w:t>
            </w:r>
            <w:proofErr w:type="spellEnd"/>
            <w:r w:rsidRPr="00A506D0">
              <w:rPr>
                <w:iCs/>
                <w:sz w:val="28"/>
                <w:szCs w:val="28"/>
                <w:shd w:val="clear" w:color="auto" w:fill="FFFFFF"/>
              </w:rPr>
              <w:t xml:space="preserve"> 28</w:t>
            </w:r>
            <w:r w:rsidR="00887AC8">
              <w:rPr>
                <w:iCs/>
                <w:sz w:val="28"/>
                <w:szCs w:val="28"/>
                <w:shd w:val="clear" w:color="auto" w:fill="FFFFFF"/>
              </w:rPr>
              <w:t>/</w:t>
            </w:r>
            <w:r w:rsidRPr="00A506D0">
              <w:rPr>
                <w:iCs/>
                <w:sz w:val="28"/>
                <w:szCs w:val="28"/>
                <w:shd w:val="clear" w:color="auto" w:fill="FFFFFF"/>
              </w:rPr>
              <w:t>12</w:t>
            </w:r>
            <w:r w:rsidR="00887AC8">
              <w:rPr>
                <w:iCs/>
                <w:sz w:val="28"/>
                <w:szCs w:val="28"/>
                <w:shd w:val="clear" w:color="auto" w:fill="FFFFFF"/>
              </w:rPr>
              <w:t>/</w:t>
            </w:r>
            <w:r w:rsidRPr="00A506D0">
              <w:rPr>
                <w:iCs/>
                <w:sz w:val="28"/>
                <w:szCs w:val="28"/>
                <w:shd w:val="clear" w:color="auto" w:fill="FFFFFF"/>
              </w:rPr>
              <w:t>2011</w:t>
            </w:r>
            <w:r w:rsidRPr="00A506D0">
              <w:rPr>
                <w:rFonts w:eastAsia="Calibri"/>
                <w:noProof/>
                <w:sz w:val="28"/>
                <w:szCs w:val="28"/>
                <w:lang w:val="vi-VN"/>
              </w:rPr>
              <w:t xml:space="preserve"> của Thủ tướng Chính phủ quy định một số chế độ phụ cấp đặc thù đối với công chức, viên chức, người lao động trong các cơ sở y tế công lập và chế độ phụ cấp phòng, chống dịch</w:t>
            </w:r>
            <w:r w:rsidRPr="00A506D0">
              <w:rPr>
                <w:rFonts w:eastAsia="Calibri"/>
                <w:noProof/>
                <w:sz w:val="28"/>
                <w:szCs w:val="28"/>
              </w:rPr>
              <w:t>.</w:t>
            </w:r>
          </w:p>
          <w:p w14:paraId="377418FA" w14:textId="6D8AD0DC" w:rsidR="00C122E9" w:rsidRPr="00DF1769" w:rsidRDefault="00280A03" w:rsidP="005B1CC1">
            <w:pPr>
              <w:spacing w:before="60" w:after="60" w:line="340" w:lineRule="exact"/>
              <w:jc w:val="both"/>
              <w:rPr>
                <w:rFonts w:eastAsia="Calibri"/>
                <w:noProof/>
                <w:szCs w:val="28"/>
              </w:rPr>
            </w:pPr>
            <w:r>
              <w:rPr>
                <w:rFonts w:eastAsia="Calibri"/>
                <w:noProof/>
                <w:sz w:val="28"/>
                <w:szCs w:val="28"/>
              </w:rPr>
              <w:t xml:space="preserve">- </w:t>
            </w:r>
            <w:r w:rsidR="002F7E0C" w:rsidRPr="002F7E0C">
              <w:rPr>
                <w:rFonts w:eastAsia="Calibri"/>
                <w:noProof/>
                <w:sz w:val="28"/>
                <w:szCs w:val="28"/>
                <w:lang w:val="vi-VN"/>
              </w:rPr>
              <w:t>Quyết định số 75/2009/QĐ-TTg ngày 11/5/2009 của Chính phủ về việc quy định chế độ phụ cấp đối với nhân viên y tế thôn, bản</w:t>
            </w:r>
            <w:r w:rsidR="002F7E0C">
              <w:rPr>
                <w:rFonts w:eastAsia="Calibri"/>
                <w:noProof/>
                <w:sz w:val="28"/>
                <w:szCs w:val="28"/>
              </w:rPr>
              <w:t>.</w:t>
            </w:r>
          </w:p>
        </w:tc>
      </w:tr>
      <w:tr w:rsidR="00A506D0" w:rsidRPr="00A506D0" w14:paraId="664AABF3"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1CE6E4AA" w14:textId="77777777" w:rsidR="00C122E9" w:rsidRPr="00A506D0" w:rsidRDefault="00C122E9" w:rsidP="005B1CC1">
            <w:pPr>
              <w:numPr>
                <w:ilvl w:val="0"/>
                <w:numId w:val="2"/>
              </w:numPr>
              <w:spacing w:before="60" w:after="60" w:line="340" w:lineRule="exact"/>
              <w:ind w:left="0" w:right="-434" w:firstLine="0"/>
              <w:jc w:val="center"/>
              <w:rPr>
                <w:rFonts w:eastAsia="Calibri"/>
                <w:noProof/>
                <w:szCs w:val="28"/>
                <w:lang w:val="vi-VN"/>
              </w:rPr>
            </w:pP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60DF0188" w14:textId="05862B1A" w:rsidR="00C122E9" w:rsidRPr="00A506D0" w:rsidRDefault="00C122E9" w:rsidP="005B1CC1">
            <w:pPr>
              <w:spacing w:before="60" w:after="60" w:line="340" w:lineRule="exact"/>
              <w:jc w:val="both"/>
              <w:rPr>
                <w:rFonts w:eastAsia="Calibri"/>
                <w:noProof/>
                <w:szCs w:val="28"/>
                <w:lang w:val="vi-VN"/>
              </w:rPr>
            </w:pPr>
            <w:r w:rsidRPr="00A506D0">
              <w:rPr>
                <w:rFonts w:eastAsia="Calibri"/>
                <w:noProof/>
                <w:sz w:val="28"/>
                <w:szCs w:val="28"/>
                <w:lang w:val="vi-VN"/>
              </w:rPr>
              <w:t xml:space="preserve">Sửa đổi, bổ sung Nghị định số 101/2017/NĐ-CP ngày </w:t>
            </w:r>
            <w:r w:rsidR="00887AC8" w:rsidRPr="00A506D0">
              <w:rPr>
                <w:rFonts w:eastAsia="Calibri"/>
                <w:noProof/>
                <w:sz w:val="28"/>
                <w:szCs w:val="28"/>
                <w:lang w:val="vi-VN"/>
              </w:rPr>
              <w:t>01</w:t>
            </w:r>
            <w:r w:rsidR="00887AC8">
              <w:rPr>
                <w:rFonts w:eastAsia="Calibri"/>
                <w:noProof/>
                <w:sz w:val="28"/>
                <w:szCs w:val="28"/>
              </w:rPr>
              <w:t>/</w:t>
            </w:r>
            <w:r w:rsidRPr="00A506D0">
              <w:rPr>
                <w:rFonts w:eastAsia="Calibri"/>
                <w:noProof/>
                <w:sz w:val="28"/>
                <w:szCs w:val="28"/>
                <w:lang w:val="vi-VN"/>
              </w:rPr>
              <w:t>9</w:t>
            </w:r>
            <w:r w:rsidR="00887AC8">
              <w:rPr>
                <w:rFonts w:eastAsia="Calibri"/>
                <w:noProof/>
                <w:sz w:val="28"/>
                <w:szCs w:val="28"/>
              </w:rPr>
              <w:t>/</w:t>
            </w:r>
            <w:r w:rsidRPr="00A506D0">
              <w:rPr>
                <w:rFonts w:eastAsia="Calibri"/>
                <w:noProof/>
                <w:sz w:val="28"/>
                <w:szCs w:val="28"/>
                <w:lang w:val="vi-VN"/>
              </w:rPr>
              <w:t xml:space="preserve">2017 của Chính phủ về đào tạo, bồi dưỡng cán bộ, công chức, viên chức, trong đó cần nghiên cứu sửa đổi nội dung đền bù chi phí đào tạo một cách phù hợp, thỏa đáng, đồng thời có cơ chế ràng buộc đủ mạnh để giữ chân đối với nhân lực y tế có chất lượng cao trong các đơn vị sự nghiệp </w:t>
            </w:r>
            <w:r w:rsidR="00B713A8">
              <w:rPr>
                <w:rFonts w:eastAsia="Calibri"/>
                <w:noProof/>
                <w:sz w:val="28"/>
                <w:szCs w:val="28"/>
              </w:rPr>
              <w:t>y</w:t>
            </w:r>
            <w:r w:rsidRPr="00A506D0">
              <w:rPr>
                <w:rFonts w:eastAsia="Calibri"/>
                <w:noProof/>
                <w:sz w:val="28"/>
                <w:szCs w:val="28"/>
                <w:lang w:val="vi-VN"/>
              </w:rPr>
              <w:t xml:space="preserve"> tế công lập</w:t>
            </w:r>
          </w:p>
        </w:tc>
      </w:tr>
      <w:tr w:rsidR="00A506D0" w:rsidRPr="00A506D0" w14:paraId="6FE6D228"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59B3788B" w14:textId="77777777" w:rsidR="00C122E9" w:rsidRPr="00A506D0" w:rsidRDefault="00C122E9" w:rsidP="005B1CC1">
            <w:pPr>
              <w:numPr>
                <w:ilvl w:val="0"/>
                <w:numId w:val="2"/>
              </w:numPr>
              <w:spacing w:before="60" w:after="60" w:line="340" w:lineRule="exact"/>
              <w:ind w:left="0" w:right="-434" w:firstLine="0"/>
              <w:jc w:val="center"/>
              <w:rPr>
                <w:rFonts w:eastAsia="Calibri"/>
                <w:noProof/>
                <w:szCs w:val="28"/>
                <w:lang w:val="vi-VN"/>
              </w:rPr>
            </w:pP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55246295" w14:textId="15802405" w:rsidR="00C122E9" w:rsidRPr="00A506D0" w:rsidRDefault="005B1CC1" w:rsidP="005B1CC1">
            <w:pPr>
              <w:spacing w:before="60" w:after="60" w:line="340" w:lineRule="exact"/>
              <w:jc w:val="both"/>
              <w:rPr>
                <w:rFonts w:eastAsia="Calibri"/>
                <w:noProof/>
                <w:szCs w:val="28"/>
                <w:lang w:val="vi-VN"/>
              </w:rPr>
            </w:pPr>
            <w:r>
              <w:rPr>
                <w:rFonts w:eastAsia="Calibri"/>
                <w:noProof/>
                <w:sz w:val="28"/>
                <w:szCs w:val="28"/>
              </w:rPr>
              <w:t>Quy định chi tiết</w:t>
            </w:r>
            <w:r w:rsidR="00C122E9" w:rsidRPr="00A506D0">
              <w:rPr>
                <w:rFonts w:eastAsia="Calibri"/>
                <w:noProof/>
                <w:sz w:val="28"/>
                <w:szCs w:val="28"/>
                <w:lang w:val="vi-VN"/>
              </w:rPr>
              <w:t xml:space="preserve"> thực hiện các</w:t>
            </w:r>
            <w:r>
              <w:rPr>
                <w:rFonts w:eastAsia="Calibri"/>
                <w:noProof/>
                <w:sz w:val="28"/>
                <w:szCs w:val="28"/>
              </w:rPr>
              <w:t xml:space="preserve"> điều, khoản đ</w:t>
            </w:r>
            <w:r w:rsidR="00C122E9" w:rsidRPr="00A506D0">
              <w:rPr>
                <w:rFonts w:eastAsia="Calibri"/>
                <w:noProof/>
                <w:sz w:val="28"/>
                <w:szCs w:val="28"/>
                <w:lang w:val="vi-VN"/>
              </w:rPr>
              <w:t xml:space="preserve">ược </w:t>
            </w:r>
            <w:r>
              <w:rPr>
                <w:rFonts w:eastAsia="Calibri"/>
                <w:noProof/>
                <w:sz w:val="28"/>
                <w:szCs w:val="28"/>
              </w:rPr>
              <w:t xml:space="preserve">giao theo thẩm quyền tại </w:t>
            </w:r>
            <w:r w:rsidR="00C122E9" w:rsidRPr="00A506D0">
              <w:rPr>
                <w:rFonts w:eastAsia="Calibri"/>
                <w:noProof/>
                <w:sz w:val="28"/>
                <w:szCs w:val="28"/>
                <w:lang w:val="vi-VN"/>
              </w:rPr>
              <w:t xml:space="preserve">Luật </w:t>
            </w:r>
            <w:r w:rsidR="008B1760">
              <w:rPr>
                <w:rFonts w:eastAsia="Calibri"/>
                <w:noProof/>
                <w:sz w:val="28"/>
                <w:szCs w:val="28"/>
              </w:rPr>
              <w:t>K</w:t>
            </w:r>
            <w:r w:rsidR="00C122E9" w:rsidRPr="00A506D0">
              <w:rPr>
                <w:rFonts w:eastAsia="Calibri"/>
                <w:noProof/>
                <w:sz w:val="28"/>
                <w:szCs w:val="28"/>
                <w:lang w:val="vi-VN"/>
              </w:rPr>
              <w:t>hám bệnh, chữa bệnh</w:t>
            </w:r>
            <w:r w:rsidR="008B1760">
              <w:rPr>
                <w:rFonts w:eastAsia="Calibri"/>
                <w:noProof/>
                <w:sz w:val="28"/>
                <w:szCs w:val="28"/>
              </w:rPr>
              <w:t>, Luật Giá, Luật Đấu thầu</w:t>
            </w:r>
            <w:r w:rsidR="00C122E9" w:rsidRPr="00A506D0">
              <w:rPr>
                <w:rFonts w:eastAsia="Calibri"/>
                <w:noProof/>
                <w:sz w:val="28"/>
                <w:szCs w:val="28"/>
              </w:rPr>
              <w:t xml:space="preserve"> </w:t>
            </w:r>
          </w:p>
        </w:tc>
      </w:tr>
      <w:tr w:rsidR="00A506D0" w:rsidRPr="00A506D0" w14:paraId="03E13EC4"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0519352E" w14:textId="77777777" w:rsidR="00C122E9" w:rsidRPr="00A506D0" w:rsidRDefault="00C122E9" w:rsidP="005B1CC1">
            <w:pPr>
              <w:numPr>
                <w:ilvl w:val="0"/>
                <w:numId w:val="2"/>
              </w:numPr>
              <w:spacing w:before="60" w:after="60" w:line="340" w:lineRule="exact"/>
              <w:ind w:left="0" w:right="-434" w:firstLine="0"/>
              <w:jc w:val="center"/>
              <w:rPr>
                <w:rFonts w:eastAsia="Calibri"/>
                <w:noProof/>
                <w:sz w:val="28"/>
                <w:szCs w:val="28"/>
              </w:rPr>
            </w:pP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3319E7E0" w14:textId="54EBAECA" w:rsidR="00C122E9" w:rsidRPr="00A506D0" w:rsidRDefault="008B1760" w:rsidP="005B1CC1">
            <w:pPr>
              <w:spacing w:before="60" w:after="60" w:line="340" w:lineRule="exact"/>
              <w:jc w:val="both"/>
              <w:rPr>
                <w:rFonts w:eastAsia="Calibri"/>
                <w:noProof/>
                <w:sz w:val="28"/>
                <w:szCs w:val="28"/>
                <w:lang w:val="vi-VN"/>
              </w:rPr>
            </w:pPr>
            <w:r>
              <w:rPr>
                <w:rFonts w:eastAsia="Calibri"/>
                <w:noProof/>
                <w:sz w:val="28"/>
                <w:szCs w:val="28"/>
              </w:rPr>
              <w:t xml:space="preserve">Ban hành quy định về </w:t>
            </w:r>
            <w:r w:rsidR="00C122E9" w:rsidRPr="00A506D0">
              <w:rPr>
                <w:rFonts w:eastAsia="Calibri"/>
                <w:noProof/>
                <w:sz w:val="28"/>
                <w:szCs w:val="28"/>
                <w:lang w:val="vi-VN"/>
              </w:rPr>
              <w:t>cơ chế bảo đảm tài chính và phân bổ ngân sách nhà nước cho y tế cơ sở và y tế dự phòng</w:t>
            </w:r>
          </w:p>
        </w:tc>
      </w:tr>
      <w:tr w:rsidR="008B1760" w:rsidRPr="00A506D0" w14:paraId="33FCA82E"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5DFDD390" w14:textId="77777777" w:rsidR="008B1760" w:rsidRPr="00A506D0" w:rsidRDefault="008B1760" w:rsidP="005B1CC1">
            <w:pPr>
              <w:numPr>
                <w:ilvl w:val="0"/>
                <w:numId w:val="2"/>
              </w:numPr>
              <w:spacing w:before="60" w:after="60" w:line="340" w:lineRule="exact"/>
              <w:ind w:left="0" w:right="-434" w:firstLine="0"/>
              <w:jc w:val="center"/>
              <w:rPr>
                <w:rFonts w:eastAsia="Calibri"/>
                <w:noProof/>
                <w:sz w:val="28"/>
                <w:szCs w:val="28"/>
              </w:rPr>
            </w:pPr>
          </w:p>
        </w:tc>
        <w:tc>
          <w:tcPr>
            <w:tcW w:w="8674" w:type="dxa"/>
            <w:tcBorders>
              <w:top w:val="single" w:sz="4" w:space="0" w:color="000000"/>
              <w:left w:val="single" w:sz="4" w:space="0" w:color="000000"/>
              <w:bottom w:val="single" w:sz="4" w:space="0" w:color="000000"/>
              <w:right w:val="single" w:sz="4" w:space="0" w:color="000000"/>
            </w:tcBorders>
            <w:vAlign w:val="center"/>
          </w:tcPr>
          <w:p w14:paraId="6DAA293B" w14:textId="255273F3" w:rsidR="008B1760" w:rsidRPr="00475CF4" w:rsidRDefault="008B1760">
            <w:pPr>
              <w:spacing w:before="60" w:after="60" w:line="340" w:lineRule="exact"/>
              <w:jc w:val="both"/>
              <w:rPr>
                <w:rFonts w:eastAsia="Calibri"/>
                <w:noProof/>
                <w:sz w:val="28"/>
                <w:szCs w:val="28"/>
              </w:rPr>
            </w:pPr>
            <w:r>
              <w:rPr>
                <w:noProof/>
                <w:sz w:val="28"/>
                <w:szCs w:val="28"/>
                <w:lang w:val="vi-VN"/>
              </w:rPr>
              <w:t>R</w:t>
            </w:r>
            <w:r w:rsidRPr="00547925">
              <w:rPr>
                <w:noProof/>
                <w:sz w:val="28"/>
                <w:szCs w:val="28"/>
                <w:lang w:val="vi-VN"/>
              </w:rPr>
              <w:t>à soát, ng</w:t>
            </w:r>
            <w:r>
              <w:rPr>
                <w:noProof/>
                <w:sz w:val="28"/>
                <w:szCs w:val="28"/>
                <w:lang w:val="vi-VN"/>
              </w:rPr>
              <w:t xml:space="preserve">hiên cứu xây dựng </w:t>
            </w:r>
            <w:r w:rsidR="00D16F51">
              <w:rPr>
                <w:noProof/>
                <w:sz w:val="28"/>
                <w:szCs w:val="28"/>
              </w:rPr>
              <w:t xml:space="preserve">hoặc sửa đổi, bổ sung </w:t>
            </w:r>
            <w:r w:rsidR="00543185">
              <w:rPr>
                <w:noProof/>
                <w:sz w:val="28"/>
                <w:szCs w:val="28"/>
              </w:rPr>
              <w:t>theo thẩm quyền</w:t>
            </w:r>
            <w:r w:rsidR="00543185" w:rsidRPr="00547925">
              <w:rPr>
                <w:noProof/>
                <w:sz w:val="28"/>
                <w:szCs w:val="28"/>
                <w:lang w:val="vi-VN"/>
              </w:rPr>
              <w:t xml:space="preserve"> </w:t>
            </w:r>
            <w:r w:rsidRPr="00547925">
              <w:rPr>
                <w:noProof/>
                <w:sz w:val="28"/>
                <w:szCs w:val="28"/>
                <w:lang w:val="vi-VN"/>
              </w:rPr>
              <w:t xml:space="preserve">các </w:t>
            </w:r>
            <w:r>
              <w:rPr>
                <w:noProof/>
                <w:sz w:val="28"/>
                <w:szCs w:val="28"/>
              </w:rPr>
              <w:t xml:space="preserve">văn bản quy phạm pháp luật </w:t>
            </w:r>
            <w:r w:rsidRPr="00547925">
              <w:rPr>
                <w:noProof/>
                <w:sz w:val="28"/>
                <w:szCs w:val="28"/>
                <w:lang w:val="vi-VN"/>
              </w:rPr>
              <w:t>khác</w:t>
            </w:r>
            <w:r>
              <w:rPr>
                <w:noProof/>
                <w:sz w:val="28"/>
                <w:szCs w:val="28"/>
              </w:rPr>
              <w:t xml:space="preserve"> </w:t>
            </w:r>
            <w:r w:rsidR="00543185">
              <w:rPr>
                <w:noProof/>
                <w:sz w:val="28"/>
                <w:szCs w:val="28"/>
              </w:rPr>
              <w:t xml:space="preserve">có liên quan đến nội dung Nghị quyết này </w:t>
            </w:r>
            <w:r w:rsidRPr="00547925">
              <w:rPr>
                <w:noProof/>
                <w:sz w:val="28"/>
                <w:szCs w:val="28"/>
                <w:lang w:val="vi-VN"/>
              </w:rPr>
              <w:t>để đáp ứng yêu cầu thực tiễn</w:t>
            </w:r>
          </w:p>
        </w:tc>
      </w:tr>
      <w:tr w:rsidR="00A506D0" w:rsidRPr="00A506D0" w14:paraId="0FF5D336"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hideMark/>
          </w:tcPr>
          <w:p w14:paraId="73319621" w14:textId="77777777" w:rsidR="00C122E9" w:rsidRPr="00CA2857" w:rsidRDefault="00C122E9" w:rsidP="005B1CC1">
            <w:pPr>
              <w:spacing w:before="60" w:after="60" w:line="340" w:lineRule="exact"/>
              <w:ind w:right="49"/>
              <w:jc w:val="center"/>
              <w:rPr>
                <w:rFonts w:eastAsia="Calibri"/>
                <w:b/>
                <w:noProof/>
                <w:sz w:val="26"/>
                <w:szCs w:val="26"/>
              </w:rPr>
            </w:pPr>
            <w:r w:rsidRPr="00CA2857">
              <w:rPr>
                <w:rFonts w:eastAsia="Calibri"/>
                <w:b/>
                <w:noProof/>
                <w:sz w:val="26"/>
                <w:szCs w:val="26"/>
              </w:rPr>
              <w:t>III</w:t>
            </w:r>
          </w:p>
        </w:tc>
        <w:tc>
          <w:tcPr>
            <w:tcW w:w="8674" w:type="dxa"/>
            <w:tcBorders>
              <w:top w:val="single" w:sz="4" w:space="0" w:color="000000"/>
              <w:left w:val="single" w:sz="4" w:space="0" w:color="000000"/>
              <w:bottom w:val="single" w:sz="4" w:space="0" w:color="000000"/>
              <w:right w:val="single" w:sz="4" w:space="0" w:color="000000"/>
            </w:tcBorders>
            <w:vAlign w:val="center"/>
            <w:hideMark/>
          </w:tcPr>
          <w:p w14:paraId="50596147" w14:textId="77777777" w:rsidR="00C122E9" w:rsidRPr="00CA2857" w:rsidRDefault="00C122E9" w:rsidP="005B1CC1">
            <w:pPr>
              <w:spacing w:before="60" w:after="60" w:line="340" w:lineRule="exact"/>
              <w:jc w:val="both"/>
              <w:rPr>
                <w:rFonts w:eastAsia="Calibri"/>
                <w:noProof/>
                <w:sz w:val="26"/>
                <w:szCs w:val="26"/>
                <w:lang w:val="vi-VN"/>
              </w:rPr>
            </w:pPr>
            <w:r w:rsidRPr="00CA2857">
              <w:rPr>
                <w:rFonts w:eastAsia="Calibri"/>
                <w:b/>
                <w:noProof/>
                <w:sz w:val="26"/>
                <w:szCs w:val="26"/>
                <w:lang w:val="vi-VN"/>
              </w:rPr>
              <w:t>VĂN BẢN QUY PHẠM PHÁP LUẬT CỦA CÁC BỘ, NGÀNH</w:t>
            </w:r>
          </w:p>
        </w:tc>
      </w:tr>
      <w:tr w:rsidR="00A506D0" w:rsidRPr="00A506D0" w14:paraId="45153346"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64B4801A" w14:textId="77777777" w:rsidR="00C122E9" w:rsidRPr="00664F8C" w:rsidRDefault="00C122E9" w:rsidP="005B1CC1">
            <w:pPr>
              <w:numPr>
                <w:ilvl w:val="0"/>
                <w:numId w:val="3"/>
              </w:numPr>
              <w:spacing w:before="60" w:after="60" w:line="340" w:lineRule="exact"/>
              <w:ind w:left="-18" w:right="-434"/>
              <w:jc w:val="center"/>
              <w:rPr>
                <w:rFonts w:eastAsia="Calibri"/>
                <w:noProof/>
                <w:lang w:val="vi-VN"/>
              </w:rPr>
            </w:pPr>
          </w:p>
        </w:tc>
        <w:tc>
          <w:tcPr>
            <w:tcW w:w="8674" w:type="dxa"/>
            <w:tcBorders>
              <w:top w:val="single" w:sz="4" w:space="0" w:color="000000"/>
              <w:left w:val="single" w:sz="4" w:space="0" w:color="000000"/>
              <w:bottom w:val="single" w:sz="4" w:space="0" w:color="000000"/>
              <w:right w:val="single" w:sz="4" w:space="0" w:color="000000"/>
            </w:tcBorders>
            <w:hideMark/>
          </w:tcPr>
          <w:p w14:paraId="7BA35C34" w14:textId="6FF2833E" w:rsidR="00C122E9" w:rsidRPr="008F7DD5" w:rsidRDefault="00C122E9" w:rsidP="005B1CC1">
            <w:pPr>
              <w:spacing w:before="60" w:after="60" w:line="340" w:lineRule="exact"/>
              <w:jc w:val="both"/>
              <w:rPr>
                <w:iCs/>
                <w:noProof/>
                <w:szCs w:val="28"/>
              </w:rPr>
            </w:pPr>
            <w:r w:rsidRPr="00A506D0">
              <w:rPr>
                <w:bCs/>
                <w:noProof/>
                <w:sz w:val="28"/>
                <w:szCs w:val="28"/>
              </w:rPr>
              <w:t>Ban hành c</w:t>
            </w:r>
            <w:r w:rsidRPr="00A506D0">
              <w:rPr>
                <w:bCs/>
                <w:noProof/>
                <w:sz w:val="28"/>
                <w:szCs w:val="28"/>
                <w:lang w:val="vi-VN"/>
              </w:rPr>
              <w:t xml:space="preserve">ác văn bản </w:t>
            </w:r>
            <w:r w:rsidR="005B1CC1">
              <w:rPr>
                <w:bCs/>
                <w:noProof/>
                <w:sz w:val="28"/>
                <w:szCs w:val="28"/>
              </w:rPr>
              <w:t xml:space="preserve">hướng dẫn thực hiện theo </w:t>
            </w:r>
            <w:r w:rsidRPr="00A506D0">
              <w:rPr>
                <w:bCs/>
                <w:noProof/>
                <w:sz w:val="28"/>
                <w:szCs w:val="28"/>
                <w:lang w:val="vi-VN"/>
              </w:rPr>
              <w:t>quy định tại Luật Khám bệnh</w:t>
            </w:r>
            <w:r w:rsidR="008B1760">
              <w:rPr>
                <w:bCs/>
                <w:noProof/>
                <w:sz w:val="28"/>
                <w:szCs w:val="28"/>
              </w:rPr>
              <w:t>,</w:t>
            </w:r>
            <w:r w:rsidRPr="00A506D0">
              <w:rPr>
                <w:bCs/>
                <w:noProof/>
                <w:sz w:val="28"/>
                <w:szCs w:val="28"/>
                <w:lang w:val="vi-VN"/>
              </w:rPr>
              <w:t xml:space="preserve"> chữa bệnh</w:t>
            </w:r>
            <w:r w:rsidR="008B1760">
              <w:rPr>
                <w:bCs/>
                <w:noProof/>
                <w:sz w:val="28"/>
                <w:szCs w:val="28"/>
              </w:rPr>
              <w:t xml:space="preserve">, </w:t>
            </w:r>
            <w:r w:rsidR="008B1760">
              <w:rPr>
                <w:rFonts w:eastAsia="Calibri"/>
                <w:noProof/>
                <w:sz w:val="28"/>
                <w:szCs w:val="28"/>
              </w:rPr>
              <w:t>Luật Giá, Luật Đấu thầu</w:t>
            </w:r>
          </w:p>
        </w:tc>
      </w:tr>
      <w:tr w:rsidR="00A506D0" w:rsidRPr="00A506D0" w14:paraId="233614BB"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595CCBFC" w14:textId="77777777" w:rsidR="00C122E9" w:rsidRPr="00664F8C" w:rsidRDefault="00C122E9" w:rsidP="005B1CC1">
            <w:pPr>
              <w:numPr>
                <w:ilvl w:val="0"/>
                <w:numId w:val="3"/>
              </w:numPr>
              <w:spacing w:before="60" w:after="60" w:line="340" w:lineRule="exact"/>
              <w:ind w:left="-18" w:right="-434"/>
              <w:jc w:val="center"/>
              <w:rPr>
                <w:rFonts w:eastAsia="Calibri"/>
                <w:noProof/>
                <w:lang w:val="vi-VN"/>
              </w:rPr>
            </w:pPr>
          </w:p>
        </w:tc>
        <w:tc>
          <w:tcPr>
            <w:tcW w:w="8674" w:type="dxa"/>
            <w:tcBorders>
              <w:top w:val="single" w:sz="4" w:space="0" w:color="000000"/>
              <w:left w:val="single" w:sz="4" w:space="0" w:color="000000"/>
              <w:bottom w:val="single" w:sz="4" w:space="0" w:color="000000"/>
              <w:right w:val="single" w:sz="4" w:space="0" w:color="000000"/>
            </w:tcBorders>
            <w:hideMark/>
          </w:tcPr>
          <w:p w14:paraId="580A6E4B" w14:textId="77777777" w:rsidR="00C122E9" w:rsidRPr="00A506D0" w:rsidRDefault="00C122E9" w:rsidP="005B1CC1">
            <w:pPr>
              <w:spacing w:before="60" w:after="60" w:line="340" w:lineRule="exact"/>
              <w:jc w:val="both"/>
              <w:rPr>
                <w:iCs/>
                <w:noProof/>
                <w:szCs w:val="28"/>
                <w:lang w:val="vi-VN"/>
              </w:rPr>
            </w:pPr>
            <w:r w:rsidRPr="00A506D0">
              <w:rPr>
                <w:bCs/>
                <w:noProof/>
                <w:sz w:val="28"/>
                <w:szCs w:val="28"/>
                <w:lang w:val="vi-VN"/>
              </w:rPr>
              <w:t>Hướng dẫn Nghị định số 152/2017/NĐ-CP ngày 27/12/2017 của Chính phủ về định mức sử dụng công trình sự nghiệp thuộc lĩnh vực y tế của đơn vị sự nghiệp công lập thuộc phạm vi tỉnh quản lý và quy định phân cấp thẩm quyền ban hành tiêu chuẩn định mức sử dụng công trình sự nghiệp thuộc lĩnh vực y tế của đơn vị sự nghiệp công lập thuộc phạm vi tỉnh quản lý</w:t>
            </w:r>
          </w:p>
        </w:tc>
      </w:tr>
      <w:tr w:rsidR="00A506D0" w:rsidRPr="00A506D0" w14:paraId="68BB0F5A"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tcPr>
          <w:p w14:paraId="0091872C" w14:textId="77777777" w:rsidR="00C122E9" w:rsidRPr="00664F8C" w:rsidRDefault="00C122E9" w:rsidP="005B1CC1">
            <w:pPr>
              <w:numPr>
                <w:ilvl w:val="0"/>
                <w:numId w:val="3"/>
              </w:numPr>
              <w:spacing w:before="60" w:after="60" w:line="340" w:lineRule="exact"/>
              <w:ind w:left="-18" w:right="-434"/>
              <w:jc w:val="center"/>
              <w:rPr>
                <w:rFonts w:eastAsia="Calibri"/>
                <w:noProof/>
              </w:rPr>
            </w:pPr>
          </w:p>
        </w:tc>
        <w:tc>
          <w:tcPr>
            <w:tcW w:w="8674" w:type="dxa"/>
            <w:tcBorders>
              <w:top w:val="single" w:sz="4" w:space="0" w:color="000000"/>
              <w:left w:val="single" w:sz="4" w:space="0" w:color="000000"/>
              <w:bottom w:val="single" w:sz="4" w:space="0" w:color="000000"/>
              <w:right w:val="single" w:sz="4" w:space="0" w:color="000000"/>
            </w:tcBorders>
            <w:hideMark/>
          </w:tcPr>
          <w:p w14:paraId="69FB4CB8" w14:textId="34289A5C" w:rsidR="00C122E9" w:rsidRPr="00A506D0" w:rsidRDefault="00C122E9" w:rsidP="005B1CC1">
            <w:pPr>
              <w:spacing w:before="60" w:after="60" w:line="340" w:lineRule="exact"/>
              <w:jc w:val="both"/>
              <w:rPr>
                <w:b/>
                <w:iCs/>
                <w:noProof/>
                <w:szCs w:val="28"/>
                <w:lang w:val="vi-VN"/>
              </w:rPr>
            </w:pPr>
            <w:r w:rsidRPr="00A506D0">
              <w:rPr>
                <w:bCs/>
                <w:noProof/>
                <w:sz w:val="28"/>
                <w:szCs w:val="28"/>
                <w:lang w:val="vi-VN"/>
              </w:rPr>
              <w:t>Sửa đổi, bổ sung Thông tư số 33/2015/TT-BYT ngày 27/10/2015 của Bộ Y tế hướng dẫn chức năng nhiệm vụ của Trạm y tế xã, phường</w:t>
            </w:r>
            <w:r w:rsidR="00D16F51">
              <w:rPr>
                <w:bCs/>
                <w:noProof/>
                <w:sz w:val="28"/>
                <w:szCs w:val="28"/>
              </w:rPr>
              <w:t>,</w:t>
            </w:r>
            <w:r w:rsidRPr="00A506D0">
              <w:rPr>
                <w:bCs/>
                <w:noProof/>
                <w:sz w:val="28"/>
                <w:szCs w:val="28"/>
                <w:lang w:val="vi-VN"/>
              </w:rPr>
              <w:t xml:space="preserve"> thị trấn</w:t>
            </w:r>
          </w:p>
        </w:tc>
      </w:tr>
      <w:tr w:rsidR="00A506D0" w:rsidRPr="00A506D0" w14:paraId="6A774A69"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tcPr>
          <w:p w14:paraId="6B48D333" w14:textId="77777777" w:rsidR="00C122E9" w:rsidRPr="00664F8C" w:rsidRDefault="00C122E9" w:rsidP="005B1CC1">
            <w:pPr>
              <w:numPr>
                <w:ilvl w:val="0"/>
                <w:numId w:val="3"/>
              </w:numPr>
              <w:spacing w:before="60" w:after="60" w:line="340" w:lineRule="exact"/>
              <w:ind w:left="-18" w:right="-434"/>
              <w:jc w:val="center"/>
              <w:rPr>
                <w:rFonts w:eastAsia="Calibri"/>
                <w:noProof/>
                <w:lang w:val="vi-VN"/>
              </w:rPr>
            </w:pPr>
          </w:p>
        </w:tc>
        <w:tc>
          <w:tcPr>
            <w:tcW w:w="8674" w:type="dxa"/>
            <w:tcBorders>
              <w:top w:val="single" w:sz="4" w:space="0" w:color="000000"/>
              <w:left w:val="single" w:sz="4" w:space="0" w:color="000000"/>
              <w:bottom w:val="single" w:sz="4" w:space="0" w:color="000000"/>
              <w:right w:val="single" w:sz="4" w:space="0" w:color="000000"/>
            </w:tcBorders>
            <w:hideMark/>
          </w:tcPr>
          <w:p w14:paraId="63DB2DC2" w14:textId="77777777" w:rsidR="00C122E9" w:rsidRPr="00A506D0" w:rsidRDefault="00C122E9" w:rsidP="005B1CC1">
            <w:pPr>
              <w:spacing w:before="60" w:after="60" w:line="340" w:lineRule="exact"/>
              <w:jc w:val="both"/>
              <w:rPr>
                <w:b/>
                <w:iCs/>
                <w:noProof/>
                <w:szCs w:val="28"/>
                <w:lang w:val="vi-VN"/>
              </w:rPr>
            </w:pPr>
            <w:r w:rsidRPr="00A506D0">
              <w:rPr>
                <w:bCs/>
                <w:noProof/>
                <w:sz w:val="28"/>
                <w:szCs w:val="28"/>
                <w:lang w:val="vi-VN"/>
              </w:rPr>
              <w:t>Sửa đổi, bổ sung Thông tư số 35/2019/TT-BYT ngày 30/12/2019 của Bộ Y tế quy định phạm vi hoạt động chuyên môn đối với người hành nghề khám bệnh chữa bệnh là bác sĩ y học dự phòng, y sĩ, điều dưỡng viên, hộ sinh viên, kỹ thuật viên</w:t>
            </w:r>
          </w:p>
        </w:tc>
      </w:tr>
      <w:tr w:rsidR="00A506D0" w:rsidRPr="00A506D0" w14:paraId="66B12C0B"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tcPr>
          <w:p w14:paraId="7D6E7D4D" w14:textId="77777777" w:rsidR="00C122E9" w:rsidRPr="00664F8C" w:rsidRDefault="00C122E9" w:rsidP="005B1CC1">
            <w:pPr>
              <w:numPr>
                <w:ilvl w:val="0"/>
                <w:numId w:val="3"/>
              </w:numPr>
              <w:spacing w:before="60" w:after="60" w:line="340" w:lineRule="exact"/>
              <w:ind w:left="-18" w:right="-434"/>
              <w:jc w:val="center"/>
              <w:rPr>
                <w:rFonts w:eastAsia="Calibri"/>
                <w:noProof/>
                <w:lang w:val="vi-VN"/>
              </w:rPr>
            </w:pPr>
          </w:p>
        </w:tc>
        <w:tc>
          <w:tcPr>
            <w:tcW w:w="8674" w:type="dxa"/>
            <w:tcBorders>
              <w:top w:val="single" w:sz="4" w:space="0" w:color="000000"/>
              <w:left w:val="single" w:sz="4" w:space="0" w:color="000000"/>
              <w:bottom w:val="single" w:sz="4" w:space="0" w:color="000000"/>
              <w:right w:val="single" w:sz="4" w:space="0" w:color="000000"/>
            </w:tcBorders>
            <w:hideMark/>
          </w:tcPr>
          <w:p w14:paraId="12C9E70A" w14:textId="77777777" w:rsidR="00C122E9" w:rsidRPr="00A506D0" w:rsidRDefault="00C122E9" w:rsidP="005B1CC1">
            <w:pPr>
              <w:spacing w:before="60" w:after="60" w:line="340" w:lineRule="exact"/>
              <w:jc w:val="both"/>
              <w:rPr>
                <w:b/>
                <w:iCs/>
                <w:noProof/>
                <w:szCs w:val="28"/>
                <w:lang w:val="vi-VN"/>
              </w:rPr>
            </w:pPr>
            <w:r w:rsidRPr="00A506D0">
              <w:rPr>
                <w:bCs/>
                <w:noProof/>
                <w:sz w:val="28"/>
                <w:szCs w:val="28"/>
                <w:lang w:val="vi-VN"/>
              </w:rPr>
              <w:t>Sửa đổi hoặc thay thế Thông tư 23/2005/TT-BYT hướng dẫn xếp hạng các đơn vị sự nghiệp y tế</w:t>
            </w:r>
          </w:p>
        </w:tc>
      </w:tr>
      <w:tr w:rsidR="00A506D0" w:rsidRPr="00A506D0" w14:paraId="61198DDA"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tcPr>
          <w:p w14:paraId="441FCF32" w14:textId="77777777" w:rsidR="00C122E9" w:rsidRPr="00664F8C" w:rsidRDefault="00C122E9" w:rsidP="005B1CC1">
            <w:pPr>
              <w:numPr>
                <w:ilvl w:val="0"/>
                <w:numId w:val="3"/>
              </w:numPr>
              <w:spacing w:before="60" w:after="60" w:line="340" w:lineRule="exact"/>
              <w:ind w:left="-18" w:right="-434"/>
              <w:jc w:val="center"/>
              <w:rPr>
                <w:bCs/>
                <w:noProof/>
              </w:rPr>
            </w:pPr>
          </w:p>
        </w:tc>
        <w:tc>
          <w:tcPr>
            <w:tcW w:w="8674" w:type="dxa"/>
            <w:tcBorders>
              <w:top w:val="single" w:sz="4" w:space="0" w:color="000000"/>
              <w:left w:val="single" w:sz="4" w:space="0" w:color="000000"/>
              <w:bottom w:val="single" w:sz="4" w:space="0" w:color="000000"/>
              <w:right w:val="single" w:sz="4" w:space="0" w:color="000000"/>
            </w:tcBorders>
            <w:hideMark/>
          </w:tcPr>
          <w:p w14:paraId="135C9053" w14:textId="77777777" w:rsidR="00C122E9" w:rsidRPr="00A506D0" w:rsidRDefault="00C122E9" w:rsidP="005B1CC1">
            <w:pPr>
              <w:pStyle w:val="NormalWeb"/>
              <w:spacing w:before="60" w:after="60" w:line="340" w:lineRule="exact"/>
              <w:jc w:val="both"/>
              <w:rPr>
                <w:rFonts w:ascii="Times New Roman" w:eastAsia="Calibri" w:hAnsi="Times New Roman" w:cs="Times New Roman"/>
                <w:b/>
                <w:bCs/>
                <w:noProof/>
                <w:sz w:val="28"/>
                <w:szCs w:val="28"/>
              </w:rPr>
            </w:pPr>
            <w:r w:rsidRPr="00A506D0">
              <w:rPr>
                <w:rFonts w:ascii="Times New Roman" w:eastAsia="Calibri" w:hAnsi="Times New Roman" w:cs="Times New Roman"/>
                <w:bCs/>
                <w:noProof/>
                <w:sz w:val="28"/>
                <w:szCs w:val="28"/>
              </w:rPr>
              <w:t>Ban hành tiêu chí, tiêu chuẩn chất lượng dịch vụ sự nghiệp công theo quy định tại Nghị định số 32/2019/NĐ-CP của Chính phủ (thuộc lĩnh vực y tế)</w:t>
            </w:r>
          </w:p>
        </w:tc>
      </w:tr>
      <w:tr w:rsidR="008B1760" w:rsidRPr="00A506D0" w14:paraId="2775671D" w14:textId="77777777" w:rsidTr="00CA2857">
        <w:trPr>
          <w:trHeight w:val="20"/>
        </w:trPr>
        <w:tc>
          <w:tcPr>
            <w:tcW w:w="686" w:type="dxa"/>
            <w:tcBorders>
              <w:top w:val="single" w:sz="4" w:space="0" w:color="000000"/>
              <w:left w:val="single" w:sz="4" w:space="0" w:color="000000"/>
              <w:bottom w:val="single" w:sz="4" w:space="0" w:color="000000"/>
              <w:right w:val="single" w:sz="4" w:space="0" w:color="000000"/>
            </w:tcBorders>
            <w:vAlign w:val="center"/>
          </w:tcPr>
          <w:p w14:paraId="6DB19BDA" w14:textId="77777777" w:rsidR="008B1760" w:rsidRPr="00664F8C" w:rsidRDefault="008B1760" w:rsidP="005B1CC1">
            <w:pPr>
              <w:numPr>
                <w:ilvl w:val="0"/>
                <w:numId w:val="3"/>
              </w:numPr>
              <w:spacing w:before="60" w:after="60" w:line="340" w:lineRule="exact"/>
              <w:ind w:left="-18" w:right="-434"/>
              <w:jc w:val="center"/>
              <w:rPr>
                <w:noProof/>
                <w:lang w:val="vi-VN"/>
              </w:rPr>
            </w:pPr>
          </w:p>
        </w:tc>
        <w:tc>
          <w:tcPr>
            <w:tcW w:w="8674" w:type="dxa"/>
            <w:tcBorders>
              <w:top w:val="single" w:sz="4" w:space="0" w:color="000000"/>
              <w:left w:val="single" w:sz="4" w:space="0" w:color="000000"/>
              <w:bottom w:val="single" w:sz="4" w:space="0" w:color="000000"/>
              <w:right w:val="single" w:sz="4" w:space="0" w:color="000000"/>
            </w:tcBorders>
            <w:vAlign w:val="center"/>
          </w:tcPr>
          <w:p w14:paraId="51B4FDB2" w14:textId="3FF291C9" w:rsidR="008B1760" w:rsidRPr="00475CF4" w:rsidRDefault="008B1760">
            <w:pPr>
              <w:spacing w:before="60" w:after="60" w:line="340" w:lineRule="exact"/>
              <w:jc w:val="both"/>
              <w:rPr>
                <w:noProof/>
                <w:sz w:val="28"/>
                <w:szCs w:val="28"/>
              </w:rPr>
            </w:pPr>
            <w:r>
              <w:rPr>
                <w:noProof/>
                <w:sz w:val="28"/>
                <w:szCs w:val="28"/>
                <w:lang w:val="vi-VN"/>
              </w:rPr>
              <w:t>R</w:t>
            </w:r>
            <w:r w:rsidRPr="00547925">
              <w:rPr>
                <w:noProof/>
                <w:sz w:val="28"/>
                <w:szCs w:val="28"/>
                <w:lang w:val="vi-VN"/>
              </w:rPr>
              <w:t>à soát, ng</w:t>
            </w:r>
            <w:r>
              <w:rPr>
                <w:noProof/>
                <w:sz w:val="28"/>
                <w:szCs w:val="28"/>
                <w:lang w:val="vi-VN"/>
              </w:rPr>
              <w:t xml:space="preserve">hiên cứu xây dựng </w:t>
            </w:r>
            <w:r w:rsidR="00D16F51">
              <w:rPr>
                <w:noProof/>
                <w:sz w:val="28"/>
                <w:szCs w:val="28"/>
              </w:rPr>
              <w:t xml:space="preserve">hoặc sửa đổi, bổ sung </w:t>
            </w:r>
            <w:r w:rsidR="00543185">
              <w:rPr>
                <w:noProof/>
                <w:sz w:val="28"/>
                <w:szCs w:val="28"/>
              </w:rPr>
              <w:t>theo thẩm quyền</w:t>
            </w:r>
            <w:r w:rsidR="00543185" w:rsidRPr="00547925">
              <w:rPr>
                <w:noProof/>
                <w:sz w:val="28"/>
                <w:szCs w:val="28"/>
                <w:lang w:val="vi-VN"/>
              </w:rPr>
              <w:t xml:space="preserve"> </w:t>
            </w:r>
            <w:r w:rsidRPr="00547925">
              <w:rPr>
                <w:noProof/>
                <w:sz w:val="28"/>
                <w:szCs w:val="28"/>
                <w:lang w:val="vi-VN"/>
              </w:rPr>
              <w:t xml:space="preserve">các </w:t>
            </w:r>
            <w:r>
              <w:rPr>
                <w:noProof/>
                <w:sz w:val="28"/>
                <w:szCs w:val="28"/>
              </w:rPr>
              <w:t xml:space="preserve">văn bản quy phạm pháp luật </w:t>
            </w:r>
            <w:r w:rsidRPr="00547925">
              <w:rPr>
                <w:noProof/>
                <w:sz w:val="28"/>
                <w:szCs w:val="28"/>
                <w:lang w:val="vi-VN"/>
              </w:rPr>
              <w:t>khác</w:t>
            </w:r>
            <w:r>
              <w:rPr>
                <w:noProof/>
                <w:sz w:val="28"/>
                <w:szCs w:val="28"/>
              </w:rPr>
              <w:t xml:space="preserve"> </w:t>
            </w:r>
            <w:r w:rsidR="00543185">
              <w:rPr>
                <w:noProof/>
                <w:sz w:val="28"/>
                <w:szCs w:val="28"/>
              </w:rPr>
              <w:t xml:space="preserve">có liên quan đến nội dung Nghị quyết này </w:t>
            </w:r>
            <w:r w:rsidRPr="00547925">
              <w:rPr>
                <w:noProof/>
                <w:sz w:val="28"/>
                <w:szCs w:val="28"/>
                <w:lang w:val="vi-VN"/>
              </w:rPr>
              <w:t>để đáp ứng yêu cầu thực tiễn</w:t>
            </w:r>
            <w:r w:rsidR="00543185">
              <w:rPr>
                <w:noProof/>
                <w:sz w:val="28"/>
                <w:szCs w:val="28"/>
              </w:rPr>
              <w:t xml:space="preserve"> </w:t>
            </w:r>
          </w:p>
        </w:tc>
      </w:tr>
    </w:tbl>
    <w:p w14:paraId="3D300047" w14:textId="77777777" w:rsidR="00C122E9" w:rsidRPr="00A506D0" w:rsidRDefault="00C122E9" w:rsidP="00C122E9"/>
    <w:p w14:paraId="75877C5B" w14:textId="77777777" w:rsidR="00233ABA" w:rsidRPr="00A506D0" w:rsidRDefault="00233ABA"/>
    <w:sectPr w:rsidR="00233ABA" w:rsidRPr="00A506D0" w:rsidSect="00C5334F">
      <w:headerReference w:type="default" r:id="rId8"/>
      <w:headerReference w:type="first" r:id="rId9"/>
      <w:pgSz w:w="11909" w:h="16834" w:code="9"/>
      <w:pgMar w:top="1021" w:right="1021" w:bottom="1021"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298A5" w14:textId="77777777" w:rsidR="00DC2CF5" w:rsidRDefault="00DC2CF5">
      <w:r>
        <w:separator/>
      </w:r>
    </w:p>
  </w:endnote>
  <w:endnote w:type="continuationSeparator" w:id="0">
    <w:p w14:paraId="740C61D7" w14:textId="77777777" w:rsidR="00DC2CF5" w:rsidRDefault="00DC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7F3B8" w14:textId="77777777" w:rsidR="00DC2CF5" w:rsidRDefault="00DC2CF5">
      <w:r>
        <w:separator/>
      </w:r>
    </w:p>
  </w:footnote>
  <w:footnote w:type="continuationSeparator" w:id="0">
    <w:p w14:paraId="6FB17600" w14:textId="77777777" w:rsidR="00DC2CF5" w:rsidRDefault="00DC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671898"/>
      <w:docPartObj>
        <w:docPartGallery w:val="Page Numbers (Top of Page)"/>
        <w:docPartUnique/>
      </w:docPartObj>
    </w:sdtPr>
    <w:sdtEndPr>
      <w:rPr>
        <w:noProof/>
      </w:rPr>
    </w:sdtEndPr>
    <w:sdtContent>
      <w:p w14:paraId="7AA69766" w14:textId="1755EDF0" w:rsidR="00D43A88" w:rsidRDefault="00D43A88">
        <w:pPr>
          <w:pStyle w:val="Header"/>
          <w:jc w:val="center"/>
        </w:pPr>
        <w:r>
          <w:fldChar w:fldCharType="begin"/>
        </w:r>
        <w:r>
          <w:instrText xml:space="preserve"> PAGE   \* MERGEFORMAT </w:instrText>
        </w:r>
        <w:r>
          <w:fldChar w:fldCharType="separate"/>
        </w:r>
        <w:r w:rsidR="00F92A3C">
          <w:rPr>
            <w:noProof/>
          </w:rPr>
          <w:t>2</w:t>
        </w:r>
        <w:r>
          <w:rPr>
            <w:noProof/>
          </w:rPr>
          <w:fldChar w:fldCharType="end"/>
        </w:r>
      </w:p>
    </w:sdtContent>
  </w:sdt>
  <w:p w14:paraId="1CA66272" w14:textId="77777777" w:rsidR="00903CD1" w:rsidRDefault="00903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F730" w14:textId="67FB295E" w:rsidR="00A64A44" w:rsidRDefault="00A64A44">
    <w:pPr>
      <w:pStyle w:val="Header"/>
      <w:jc w:val="center"/>
    </w:pPr>
  </w:p>
  <w:p w14:paraId="558C91FA" w14:textId="77777777" w:rsidR="00A64A44" w:rsidRDefault="00A64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17704"/>
    <w:multiLevelType w:val="hybridMultilevel"/>
    <w:tmpl w:val="5D9464D2"/>
    <w:lvl w:ilvl="0" w:tplc="0409000F">
      <w:start w:val="1"/>
      <w:numFmt w:val="decimal"/>
      <w:lvlText w:val="%1."/>
      <w:lvlJc w:val="left"/>
      <w:pPr>
        <w:ind w:left="786" w:hanging="360"/>
      </w:p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1" w15:restartNumberingAfterBreak="0">
    <w:nsid w:val="2DF37069"/>
    <w:multiLevelType w:val="hybridMultilevel"/>
    <w:tmpl w:val="900A6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0DF4E7E"/>
    <w:multiLevelType w:val="hybridMultilevel"/>
    <w:tmpl w:val="1CE4D0F2"/>
    <w:lvl w:ilvl="0" w:tplc="28604418">
      <w:start w:val="1"/>
      <w:numFmt w:val="decimal"/>
      <w:lvlText w:val="%1."/>
      <w:lvlJc w:val="left"/>
      <w:pPr>
        <w:ind w:left="17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2E9"/>
    <w:rsid w:val="00026462"/>
    <w:rsid w:val="00032BC8"/>
    <w:rsid w:val="00036D66"/>
    <w:rsid w:val="000403B0"/>
    <w:rsid w:val="00053E21"/>
    <w:rsid w:val="00057FF5"/>
    <w:rsid w:val="00062423"/>
    <w:rsid w:val="0007135E"/>
    <w:rsid w:val="000754B6"/>
    <w:rsid w:val="00081420"/>
    <w:rsid w:val="000822AD"/>
    <w:rsid w:val="00093F34"/>
    <w:rsid w:val="000A0D36"/>
    <w:rsid w:val="000A2D20"/>
    <w:rsid w:val="000A4607"/>
    <w:rsid w:val="000A578A"/>
    <w:rsid w:val="000B4CA1"/>
    <w:rsid w:val="000B76CE"/>
    <w:rsid w:val="000D0DEE"/>
    <w:rsid w:val="001018EE"/>
    <w:rsid w:val="00110F5B"/>
    <w:rsid w:val="0011396B"/>
    <w:rsid w:val="00114681"/>
    <w:rsid w:val="00125B8F"/>
    <w:rsid w:val="00133C73"/>
    <w:rsid w:val="00136662"/>
    <w:rsid w:val="00142B4C"/>
    <w:rsid w:val="00144AA6"/>
    <w:rsid w:val="00146761"/>
    <w:rsid w:val="00153EC4"/>
    <w:rsid w:val="00154AD0"/>
    <w:rsid w:val="00160083"/>
    <w:rsid w:val="00172C78"/>
    <w:rsid w:val="00180F07"/>
    <w:rsid w:val="0019780F"/>
    <w:rsid w:val="001B5B50"/>
    <w:rsid w:val="001C6ED7"/>
    <w:rsid w:val="001F4B7B"/>
    <w:rsid w:val="00221795"/>
    <w:rsid w:val="00233ABA"/>
    <w:rsid w:val="00233EE3"/>
    <w:rsid w:val="002362B1"/>
    <w:rsid w:val="00250478"/>
    <w:rsid w:val="00251388"/>
    <w:rsid w:val="00252D81"/>
    <w:rsid w:val="00260EC3"/>
    <w:rsid w:val="00263F8C"/>
    <w:rsid w:val="00264C0A"/>
    <w:rsid w:val="002716EE"/>
    <w:rsid w:val="00272CC3"/>
    <w:rsid w:val="00277682"/>
    <w:rsid w:val="00280A03"/>
    <w:rsid w:val="00283A44"/>
    <w:rsid w:val="002914C0"/>
    <w:rsid w:val="00291EB9"/>
    <w:rsid w:val="002950DF"/>
    <w:rsid w:val="00297CC8"/>
    <w:rsid w:val="002A339D"/>
    <w:rsid w:val="002B3479"/>
    <w:rsid w:val="002B5858"/>
    <w:rsid w:val="002B782D"/>
    <w:rsid w:val="002C5D4E"/>
    <w:rsid w:val="002D5657"/>
    <w:rsid w:val="002E0A30"/>
    <w:rsid w:val="002E0A83"/>
    <w:rsid w:val="002E3AEA"/>
    <w:rsid w:val="002E4FBB"/>
    <w:rsid w:val="002E65B4"/>
    <w:rsid w:val="002F7E0C"/>
    <w:rsid w:val="00301825"/>
    <w:rsid w:val="00310CA9"/>
    <w:rsid w:val="00330959"/>
    <w:rsid w:val="0033235B"/>
    <w:rsid w:val="00334DFB"/>
    <w:rsid w:val="003369F1"/>
    <w:rsid w:val="003375AF"/>
    <w:rsid w:val="00345DDB"/>
    <w:rsid w:val="00353576"/>
    <w:rsid w:val="00354ECA"/>
    <w:rsid w:val="003572F8"/>
    <w:rsid w:val="00363FC4"/>
    <w:rsid w:val="003643F6"/>
    <w:rsid w:val="003651C5"/>
    <w:rsid w:val="00377884"/>
    <w:rsid w:val="0038262A"/>
    <w:rsid w:val="003A2F88"/>
    <w:rsid w:val="003A5FAF"/>
    <w:rsid w:val="003B3C14"/>
    <w:rsid w:val="003B7026"/>
    <w:rsid w:val="003B7D90"/>
    <w:rsid w:val="003C06F8"/>
    <w:rsid w:val="003C0A18"/>
    <w:rsid w:val="003C7E38"/>
    <w:rsid w:val="003D1EFB"/>
    <w:rsid w:val="003D41CA"/>
    <w:rsid w:val="003E36D7"/>
    <w:rsid w:val="003E674E"/>
    <w:rsid w:val="003F0344"/>
    <w:rsid w:val="00433E40"/>
    <w:rsid w:val="00435D1E"/>
    <w:rsid w:val="004661F9"/>
    <w:rsid w:val="004662C8"/>
    <w:rsid w:val="00472135"/>
    <w:rsid w:val="00475CF4"/>
    <w:rsid w:val="00490D1C"/>
    <w:rsid w:val="00491428"/>
    <w:rsid w:val="0049263F"/>
    <w:rsid w:val="004943EE"/>
    <w:rsid w:val="0049644D"/>
    <w:rsid w:val="004A23EE"/>
    <w:rsid w:val="004A2B7A"/>
    <w:rsid w:val="004A41AA"/>
    <w:rsid w:val="004B5D33"/>
    <w:rsid w:val="004C08FE"/>
    <w:rsid w:val="004C52DB"/>
    <w:rsid w:val="004C7D4C"/>
    <w:rsid w:val="004D2629"/>
    <w:rsid w:val="004E606B"/>
    <w:rsid w:val="004E63D3"/>
    <w:rsid w:val="004E7D68"/>
    <w:rsid w:val="004F11A3"/>
    <w:rsid w:val="004F220E"/>
    <w:rsid w:val="004F2D92"/>
    <w:rsid w:val="004F4469"/>
    <w:rsid w:val="004F4784"/>
    <w:rsid w:val="004F7B11"/>
    <w:rsid w:val="00521252"/>
    <w:rsid w:val="0052361A"/>
    <w:rsid w:val="00543185"/>
    <w:rsid w:val="005437D0"/>
    <w:rsid w:val="00543CCD"/>
    <w:rsid w:val="00547F53"/>
    <w:rsid w:val="00556DBB"/>
    <w:rsid w:val="0056039C"/>
    <w:rsid w:val="00563F8B"/>
    <w:rsid w:val="00574846"/>
    <w:rsid w:val="00575A99"/>
    <w:rsid w:val="005A09FC"/>
    <w:rsid w:val="005B1CC1"/>
    <w:rsid w:val="005B24DF"/>
    <w:rsid w:val="005B2C61"/>
    <w:rsid w:val="005B2FAC"/>
    <w:rsid w:val="005F3E61"/>
    <w:rsid w:val="00601B3E"/>
    <w:rsid w:val="006172D7"/>
    <w:rsid w:val="00630908"/>
    <w:rsid w:val="006504B8"/>
    <w:rsid w:val="0065455F"/>
    <w:rsid w:val="006546E6"/>
    <w:rsid w:val="00654BC1"/>
    <w:rsid w:val="00661B03"/>
    <w:rsid w:val="00664F8C"/>
    <w:rsid w:val="00671A9E"/>
    <w:rsid w:val="00685359"/>
    <w:rsid w:val="00685A07"/>
    <w:rsid w:val="00691EE7"/>
    <w:rsid w:val="006B04AB"/>
    <w:rsid w:val="006C184A"/>
    <w:rsid w:val="006C3550"/>
    <w:rsid w:val="006C540E"/>
    <w:rsid w:val="006E0CB4"/>
    <w:rsid w:val="006E5771"/>
    <w:rsid w:val="006F6AE8"/>
    <w:rsid w:val="00703FBE"/>
    <w:rsid w:val="00720346"/>
    <w:rsid w:val="0072766A"/>
    <w:rsid w:val="007363FD"/>
    <w:rsid w:val="0074127F"/>
    <w:rsid w:val="0074780D"/>
    <w:rsid w:val="00753523"/>
    <w:rsid w:val="00766708"/>
    <w:rsid w:val="00771EE0"/>
    <w:rsid w:val="00772AB2"/>
    <w:rsid w:val="00773B6B"/>
    <w:rsid w:val="00784B37"/>
    <w:rsid w:val="00785056"/>
    <w:rsid w:val="007962A4"/>
    <w:rsid w:val="00797216"/>
    <w:rsid w:val="007A42AB"/>
    <w:rsid w:val="007B393D"/>
    <w:rsid w:val="007C19DC"/>
    <w:rsid w:val="007C1C50"/>
    <w:rsid w:val="007D1FD4"/>
    <w:rsid w:val="007D254F"/>
    <w:rsid w:val="007D60E5"/>
    <w:rsid w:val="007E6D65"/>
    <w:rsid w:val="007F01E5"/>
    <w:rsid w:val="007F6156"/>
    <w:rsid w:val="008060FC"/>
    <w:rsid w:val="00817E90"/>
    <w:rsid w:val="00823666"/>
    <w:rsid w:val="008241FD"/>
    <w:rsid w:val="00825BB2"/>
    <w:rsid w:val="00826C69"/>
    <w:rsid w:val="00826EA1"/>
    <w:rsid w:val="008335D7"/>
    <w:rsid w:val="00836EEB"/>
    <w:rsid w:val="0085059D"/>
    <w:rsid w:val="00864751"/>
    <w:rsid w:val="00887AC8"/>
    <w:rsid w:val="00896FB4"/>
    <w:rsid w:val="0089760D"/>
    <w:rsid w:val="008A0BDA"/>
    <w:rsid w:val="008A69AC"/>
    <w:rsid w:val="008A789C"/>
    <w:rsid w:val="008B1760"/>
    <w:rsid w:val="008B3CEA"/>
    <w:rsid w:val="008B470E"/>
    <w:rsid w:val="008B5C8C"/>
    <w:rsid w:val="008C2909"/>
    <w:rsid w:val="008E2B7C"/>
    <w:rsid w:val="008E420D"/>
    <w:rsid w:val="008F570A"/>
    <w:rsid w:val="008F7DD5"/>
    <w:rsid w:val="008F7EED"/>
    <w:rsid w:val="008F7F56"/>
    <w:rsid w:val="00901D90"/>
    <w:rsid w:val="00902330"/>
    <w:rsid w:val="0090367D"/>
    <w:rsid w:val="00903CD1"/>
    <w:rsid w:val="00910A33"/>
    <w:rsid w:val="00912198"/>
    <w:rsid w:val="0091371C"/>
    <w:rsid w:val="009221C8"/>
    <w:rsid w:val="00931725"/>
    <w:rsid w:val="00931F29"/>
    <w:rsid w:val="00932E2E"/>
    <w:rsid w:val="00936C09"/>
    <w:rsid w:val="00943364"/>
    <w:rsid w:val="00951DE9"/>
    <w:rsid w:val="00955E6D"/>
    <w:rsid w:val="0095723D"/>
    <w:rsid w:val="00964C03"/>
    <w:rsid w:val="0096581B"/>
    <w:rsid w:val="00965FB4"/>
    <w:rsid w:val="00967710"/>
    <w:rsid w:val="0097009D"/>
    <w:rsid w:val="00984F3D"/>
    <w:rsid w:val="00991378"/>
    <w:rsid w:val="00994BBA"/>
    <w:rsid w:val="009B7153"/>
    <w:rsid w:val="009C3A05"/>
    <w:rsid w:val="009D0FF8"/>
    <w:rsid w:val="009F06CC"/>
    <w:rsid w:val="00A053C4"/>
    <w:rsid w:val="00A1752B"/>
    <w:rsid w:val="00A22681"/>
    <w:rsid w:val="00A2356F"/>
    <w:rsid w:val="00A26DFE"/>
    <w:rsid w:val="00A340CF"/>
    <w:rsid w:val="00A3502C"/>
    <w:rsid w:val="00A425B6"/>
    <w:rsid w:val="00A42D5F"/>
    <w:rsid w:val="00A506D0"/>
    <w:rsid w:val="00A63094"/>
    <w:rsid w:val="00A64A44"/>
    <w:rsid w:val="00A83071"/>
    <w:rsid w:val="00A862D3"/>
    <w:rsid w:val="00A9380E"/>
    <w:rsid w:val="00A964DB"/>
    <w:rsid w:val="00AA238E"/>
    <w:rsid w:val="00AB149A"/>
    <w:rsid w:val="00AB29B9"/>
    <w:rsid w:val="00AC02B2"/>
    <w:rsid w:val="00AC2A19"/>
    <w:rsid w:val="00AE3781"/>
    <w:rsid w:val="00B104FE"/>
    <w:rsid w:val="00B12B07"/>
    <w:rsid w:val="00B26D9F"/>
    <w:rsid w:val="00B33B66"/>
    <w:rsid w:val="00B36DB8"/>
    <w:rsid w:val="00B4159B"/>
    <w:rsid w:val="00B55FAD"/>
    <w:rsid w:val="00B56ABA"/>
    <w:rsid w:val="00B665E1"/>
    <w:rsid w:val="00B70964"/>
    <w:rsid w:val="00B713A8"/>
    <w:rsid w:val="00B77B78"/>
    <w:rsid w:val="00B954B1"/>
    <w:rsid w:val="00B97B16"/>
    <w:rsid w:val="00BA21C9"/>
    <w:rsid w:val="00BB1AD4"/>
    <w:rsid w:val="00BB1C27"/>
    <w:rsid w:val="00BD0F12"/>
    <w:rsid w:val="00BF57BB"/>
    <w:rsid w:val="00C0241D"/>
    <w:rsid w:val="00C06FF7"/>
    <w:rsid w:val="00C122E9"/>
    <w:rsid w:val="00C222AC"/>
    <w:rsid w:val="00C23A31"/>
    <w:rsid w:val="00C30482"/>
    <w:rsid w:val="00C30AA9"/>
    <w:rsid w:val="00C445D3"/>
    <w:rsid w:val="00C46A8A"/>
    <w:rsid w:val="00C46DCA"/>
    <w:rsid w:val="00C51EDB"/>
    <w:rsid w:val="00C5334F"/>
    <w:rsid w:val="00C55EED"/>
    <w:rsid w:val="00C80D6A"/>
    <w:rsid w:val="00C80EDC"/>
    <w:rsid w:val="00C81FFF"/>
    <w:rsid w:val="00C82F0C"/>
    <w:rsid w:val="00C84D55"/>
    <w:rsid w:val="00C85C2B"/>
    <w:rsid w:val="00CA2857"/>
    <w:rsid w:val="00CB0246"/>
    <w:rsid w:val="00CB3F88"/>
    <w:rsid w:val="00CC6455"/>
    <w:rsid w:val="00CD3D60"/>
    <w:rsid w:val="00CF10C7"/>
    <w:rsid w:val="00D01593"/>
    <w:rsid w:val="00D05D93"/>
    <w:rsid w:val="00D16F51"/>
    <w:rsid w:val="00D23851"/>
    <w:rsid w:val="00D31F9A"/>
    <w:rsid w:val="00D355CF"/>
    <w:rsid w:val="00D43A88"/>
    <w:rsid w:val="00D446F5"/>
    <w:rsid w:val="00D66358"/>
    <w:rsid w:val="00D7707D"/>
    <w:rsid w:val="00D84CE3"/>
    <w:rsid w:val="00D9206E"/>
    <w:rsid w:val="00D9671A"/>
    <w:rsid w:val="00D97C52"/>
    <w:rsid w:val="00DB3F30"/>
    <w:rsid w:val="00DB51D9"/>
    <w:rsid w:val="00DC2CF5"/>
    <w:rsid w:val="00DD0115"/>
    <w:rsid w:val="00DD206D"/>
    <w:rsid w:val="00DD2574"/>
    <w:rsid w:val="00DF1769"/>
    <w:rsid w:val="00E03110"/>
    <w:rsid w:val="00E06662"/>
    <w:rsid w:val="00E13D34"/>
    <w:rsid w:val="00E159FF"/>
    <w:rsid w:val="00E227B8"/>
    <w:rsid w:val="00E253EB"/>
    <w:rsid w:val="00E365E9"/>
    <w:rsid w:val="00E4550F"/>
    <w:rsid w:val="00E51806"/>
    <w:rsid w:val="00E80731"/>
    <w:rsid w:val="00E8320F"/>
    <w:rsid w:val="00E83D40"/>
    <w:rsid w:val="00E85B29"/>
    <w:rsid w:val="00E872B3"/>
    <w:rsid w:val="00EA2468"/>
    <w:rsid w:val="00EA5CBD"/>
    <w:rsid w:val="00EB1072"/>
    <w:rsid w:val="00EB1531"/>
    <w:rsid w:val="00EB6406"/>
    <w:rsid w:val="00EC1442"/>
    <w:rsid w:val="00EC322E"/>
    <w:rsid w:val="00ED41A1"/>
    <w:rsid w:val="00EE0050"/>
    <w:rsid w:val="00F0684A"/>
    <w:rsid w:val="00F27085"/>
    <w:rsid w:val="00F33192"/>
    <w:rsid w:val="00F34299"/>
    <w:rsid w:val="00F660CE"/>
    <w:rsid w:val="00F70F45"/>
    <w:rsid w:val="00F75902"/>
    <w:rsid w:val="00F816A9"/>
    <w:rsid w:val="00F84296"/>
    <w:rsid w:val="00F86FE1"/>
    <w:rsid w:val="00F9102B"/>
    <w:rsid w:val="00F929CE"/>
    <w:rsid w:val="00F92A3C"/>
    <w:rsid w:val="00F95542"/>
    <w:rsid w:val="00F969F8"/>
    <w:rsid w:val="00FA4EBB"/>
    <w:rsid w:val="00FB7E90"/>
    <w:rsid w:val="00FC3C62"/>
    <w:rsid w:val="00FC48B4"/>
    <w:rsid w:val="00FD4067"/>
    <w:rsid w:val="00FD5972"/>
    <w:rsid w:val="00FF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93733"/>
  <w15:docId w15:val="{6A366A76-0764-41B8-8985-9C32953B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2E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 Char1 Char,Обычный (веб)1 Char,Обычный (веб) Знак Char,Обычный (веб) Знак1 Char,Обычный (веб) Знак Знак Char,Char Char Char Char,Char Char Char Char Char Char Char Char Char Char Char Char,Normal (Web) Char Char Char"/>
    <w:link w:val="NormalWeb"/>
    <w:uiPriority w:val="99"/>
    <w:semiHidden/>
    <w:qFormat/>
    <w:locked/>
    <w:rsid w:val="00C122E9"/>
    <w:rPr>
      <w:sz w:val="24"/>
      <w:szCs w:val="24"/>
      <w:lang w:val="vi-VN" w:eastAsia="vi-VN"/>
    </w:rPr>
  </w:style>
  <w:style w:type="paragraph" w:styleId="NormalWeb">
    <w:name w:val="Normal (Web)"/>
    <w:aliases w:val="Char Char Char1,Обычный (веб)1,Обычный (веб) Знак,Обычный (веб) Знак1,Обычный (веб) Знак Знак,Char Char Char,Char Char Char Char Char Char Char Char Char Char Char,Normal (Web) Char Char,Char Char25,Normal (Web) Char Char Char Char Char"/>
    <w:link w:val="NormalWebChar"/>
    <w:uiPriority w:val="99"/>
    <w:semiHidden/>
    <w:unhideWhenUsed/>
    <w:qFormat/>
    <w:rsid w:val="00C122E9"/>
    <w:pPr>
      <w:tabs>
        <w:tab w:val="center" w:pos="4680"/>
        <w:tab w:val="right" w:pos="9360"/>
      </w:tabs>
      <w:spacing w:after="0" w:line="240" w:lineRule="auto"/>
    </w:pPr>
    <w:rPr>
      <w:sz w:val="24"/>
      <w:szCs w:val="24"/>
      <w:lang w:val="vi-VN" w:eastAsia="vi-VN"/>
    </w:rPr>
  </w:style>
  <w:style w:type="character" w:customStyle="1" w:styleId="HeaderChar">
    <w:name w:val="Header Char"/>
    <w:link w:val="Header"/>
    <w:uiPriority w:val="99"/>
    <w:locked/>
    <w:rsid w:val="00C122E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22E9"/>
    <w:pPr>
      <w:tabs>
        <w:tab w:val="center" w:pos="4680"/>
        <w:tab w:val="right" w:pos="9360"/>
      </w:tabs>
    </w:pPr>
    <w:rPr>
      <w:lang w:val="en-GB"/>
    </w:rPr>
  </w:style>
  <w:style w:type="character" w:customStyle="1" w:styleId="HeaderChar1">
    <w:name w:val="Header Char1"/>
    <w:basedOn w:val="DefaultParagraphFont"/>
    <w:uiPriority w:val="99"/>
    <w:semiHidden/>
    <w:rsid w:val="00C122E9"/>
    <w:rPr>
      <w:rFonts w:ascii="Times New Roman" w:eastAsia="Times New Roman" w:hAnsi="Times New Roman" w:cs="Times New Roman"/>
      <w:sz w:val="24"/>
      <w:szCs w:val="24"/>
      <w:lang w:val="en-US"/>
    </w:rPr>
  </w:style>
  <w:style w:type="paragraph" w:styleId="Revision">
    <w:name w:val="Revision"/>
    <w:hidden/>
    <w:uiPriority w:val="99"/>
    <w:semiHidden/>
    <w:rsid w:val="009F06CC"/>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F1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769"/>
    <w:rPr>
      <w:rFonts w:ascii="Segoe UI" w:eastAsia="Times New Roman" w:hAnsi="Segoe UI" w:cs="Segoe UI"/>
      <w:sz w:val="18"/>
      <w:szCs w:val="18"/>
      <w:lang w:val="en-US"/>
    </w:rPr>
  </w:style>
  <w:style w:type="paragraph" w:styleId="Footer">
    <w:name w:val="footer"/>
    <w:basedOn w:val="Normal"/>
    <w:link w:val="FooterChar"/>
    <w:uiPriority w:val="99"/>
    <w:unhideWhenUsed/>
    <w:rsid w:val="007D1FD4"/>
    <w:pPr>
      <w:tabs>
        <w:tab w:val="center" w:pos="4680"/>
        <w:tab w:val="right" w:pos="9360"/>
      </w:tabs>
    </w:pPr>
  </w:style>
  <w:style w:type="character" w:customStyle="1" w:styleId="FooterChar">
    <w:name w:val="Footer Char"/>
    <w:basedOn w:val="DefaultParagraphFont"/>
    <w:link w:val="Footer"/>
    <w:uiPriority w:val="99"/>
    <w:rsid w:val="007D1FD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00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1CBDD6-DEE6-4F55-8A2E-07B90B7C2D64}">
  <ds:schemaRefs>
    <ds:schemaRef ds:uri="http://schemas.openxmlformats.org/officeDocument/2006/bibliography"/>
  </ds:schemaRefs>
</ds:datastoreItem>
</file>

<file path=customXml/itemProps2.xml><?xml version="1.0" encoding="utf-8"?>
<ds:datastoreItem xmlns:ds="http://schemas.openxmlformats.org/officeDocument/2006/customXml" ds:itemID="{346EB0D7-4C38-4926-906B-6A398330AB11}"/>
</file>

<file path=customXml/itemProps3.xml><?xml version="1.0" encoding="utf-8"?>
<ds:datastoreItem xmlns:ds="http://schemas.openxmlformats.org/officeDocument/2006/customXml" ds:itemID="{DCBE77EA-8892-44AE-BA6D-B3C05D1C5AB3}"/>
</file>

<file path=customXml/itemProps4.xml><?xml version="1.0" encoding="utf-8"?>
<ds:datastoreItem xmlns:ds="http://schemas.openxmlformats.org/officeDocument/2006/customXml" ds:itemID="{FC91017E-A278-4ACD-81A3-488469636C98}"/>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Nguyen Quoc Anh</cp:lastModifiedBy>
  <cp:revision>3</cp:revision>
  <cp:lastPrinted>2023-06-28T07:34:00Z</cp:lastPrinted>
  <dcterms:created xsi:type="dcterms:W3CDTF">2023-06-26T09:26:00Z</dcterms:created>
  <dcterms:modified xsi:type="dcterms:W3CDTF">2023-06-28T07:37:00Z</dcterms:modified>
</cp:coreProperties>
</file>